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80" w:rsidRPr="00742212" w:rsidRDefault="00F24B80" w:rsidP="00F24B80">
      <w:pPr>
        <w:pStyle w:val="a3"/>
        <w:shd w:val="clear" w:color="auto" w:fill="FFFFFF"/>
        <w:spacing w:line="360" w:lineRule="atLeast"/>
        <w:ind w:firstLine="450"/>
        <w:jc w:val="center"/>
        <w:rPr>
          <w:rFonts w:ascii="Simsun" w:hAnsi="Simsun"/>
          <w:b/>
          <w:color w:val="000000" w:themeColor="text1"/>
          <w:sz w:val="30"/>
          <w:szCs w:val="30"/>
        </w:rPr>
      </w:pPr>
      <w:r w:rsidRPr="00742212">
        <w:rPr>
          <w:rFonts w:ascii="Simsun" w:hAnsi="Simsun"/>
          <w:b/>
          <w:color w:val="000000" w:themeColor="text1"/>
          <w:sz w:val="30"/>
          <w:szCs w:val="30"/>
        </w:rPr>
        <w:t>交通运输类专业</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本补充标准适用于交通运输类专业，包括交通运输专业和交通工程专业。</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w:t>
      </w:r>
      <w:r w:rsidRPr="00742212">
        <w:rPr>
          <w:rFonts w:ascii="Simsun" w:hAnsi="Simsun"/>
          <w:color w:val="000000" w:themeColor="text1"/>
          <w:sz w:val="29"/>
          <w:szCs w:val="29"/>
        </w:rPr>
        <w:t>课程体系</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1.1</w:t>
      </w:r>
      <w:r w:rsidRPr="00742212">
        <w:rPr>
          <w:rFonts w:ascii="Simsun" w:hAnsi="Simsun"/>
          <w:color w:val="000000" w:themeColor="text1"/>
          <w:sz w:val="29"/>
          <w:szCs w:val="29"/>
        </w:rPr>
        <w:t>课程设置</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课程由学校根据自身的办学特色自主设置，本专业补充标准只对数学与自然科学类、工程基础类、专业基础类、专业类、人文社会科学类课程应包含的知识领域提出要求。</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1.1.1</w:t>
      </w:r>
      <w:r w:rsidRPr="00742212">
        <w:rPr>
          <w:rFonts w:ascii="Simsun" w:hAnsi="Simsun"/>
          <w:color w:val="000000" w:themeColor="text1"/>
          <w:sz w:val="29"/>
          <w:szCs w:val="29"/>
        </w:rPr>
        <w:t>数学与自然科学类课程</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数学：应包括解析几何、微积分、常微分方程、线性代数、概率和数理统计等基本知识。</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自然科学类课程：应包括力学、振动、波动、光学和热力学、电磁学等基本知识。其它自然科学类课程可依专业特色的需要自行设定。</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1.1.2</w:t>
      </w:r>
      <w:r w:rsidRPr="00742212">
        <w:rPr>
          <w:rFonts w:ascii="Simsun" w:hAnsi="Simsun"/>
          <w:color w:val="000000" w:themeColor="text1"/>
          <w:sz w:val="29"/>
          <w:szCs w:val="29"/>
        </w:rPr>
        <w:t>工程基础、专业基础、专业类课程（至少占总学分的</w:t>
      </w:r>
      <w:r w:rsidRPr="00742212">
        <w:rPr>
          <w:rFonts w:ascii="Simsun" w:hAnsi="Simsun"/>
          <w:color w:val="000000" w:themeColor="text1"/>
          <w:sz w:val="29"/>
          <w:szCs w:val="29"/>
        </w:rPr>
        <w:t>40%</w:t>
      </w:r>
      <w:r w:rsidRPr="00742212">
        <w:rPr>
          <w:rFonts w:ascii="Simsun" w:hAnsi="Simsun"/>
          <w:color w:val="000000" w:themeColor="text1"/>
          <w:sz w:val="29"/>
          <w:szCs w:val="29"/>
        </w:rPr>
        <w:t>）</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工程基础类课程：应包括画法几何与工程制图，道路、铁道、水运、航空等工程基础与信息控制基础、计算机应用技术等知识领域。</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lastRenderedPageBreak/>
        <w:t>专业基础类课程：交通运输专业应包括交通运输政策法规、交通运输设备、交通运输规划、交通运输商务、交通运输经济、交通运输安全和运筹学等知识领域。交通工程专业应包括城市规划原理、交通设施勘测设计、道路工程、控制工程、道路建筑材料、交通系统分析、智能交通与控制、运筹学、计算机辅助交通工程设计等知识领域。</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专业类课程：交通运输专业应包括旅客运营组织、货物运营组织、港站枢纽规划与设计、调度指挥知识领域，各校可结合自身办学特色设置体现不同运输方式特点的课程。交通工程专业应包括交通设施规划、交通组织、交通运营方面的知识领域，具体分为交通调查与分析、交通流理论、交通规划、交通设计、交通管理与控制、交通安全、交通经济、公共交通等内容。</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上述各类课程之外，设置一定数量的专业补充课程，强化学生的个性化发展。</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1.1.3</w:t>
      </w:r>
      <w:r w:rsidRPr="00742212">
        <w:rPr>
          <w:rFonts w:ascii="Simsun" w:hAnsi="Simsun"/>
          <w:color w:val="000000" w:themeColor="text1"/>
          <w:sz w:val="29"/>
          <w:szCs w:val="29"/>
        </w:rPr>
        <w:t>人文社会科学类通识教育课程</w:t>
      </w:r>
      <w:r w:rsidRPr="00742212">
        <w:rPr>
          <w:rFonts w:ascii="Simsun" w:hAnsi="Simsun"/>
          <w:color w:val="000000" w:themeColor="text1"/>
          <w:sz w:val="29"/>
          <w:szCs w:val="29"/>
        </w:rPr>
        <w:t> </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包括从事工程实践活动需要的哲学、伦理、法律、经济、环境、思想道德等知识领域。</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1.2 </w:t>
      </w:r>
      <w:r w:rsidRPr="00742212">
        <w:rPr>
          <w:rFonts w:ascii="Simsun" w:hAnsi="Simsun"/>
          <w:color w:val="000000" w:themeColor="text1"/>
          <w:sz w:val="29"/>
          <w:szCs w:val="29"/>
        </w:rPr>
        <w:t>工程实践与毕业设计（论文）</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1.2.1</w:t>
      </w:r>
      <w:r w:rsidRPr="00742212">
        <w:rPr>
          <w:rFonts w:ascii="Simsun" w:hAnsi="Simsun"/>
          <w:color w:val="000000" w:themeColor="text1"/>
          <w:sz w:val="29"/>
          <w:szCs w:val="29"/>
        </w:rPr>
        <w:t>工程实践</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lastRenderedPageBreak/>
        <w:t>具有满足达成培养目标需要的工程实践教学体系，主要包括实习、实验、课程设计等，鼓励开展科技创新活动和社会实践。要求具备完整的工程实践大纲、指导书，学生按规范完成工程实践报告。实习应建立相对稳定的校内外实习基地，密切产学研合作。实验中综合型、设计型、创新型实验比例应高于</w:t>
      </w:r>
      <w:r w:rsidRPr="00742212">
        <w:rPr>
          <w:rFonts w:ascii="Simsun" w:hAnsi="Simsun"/>
          <w:color w:val="000000" w:themeColor="text1"/>
          <w:sz w:val="29"/>
          <w:szCs w:val="29"/>
        </w:rPr>
        <w:t>50%</w:t>
      </w:r>
      <w:r w:rsidRPr="00742212">
        <w:rPr>
          <w:rFonts w:ascii="Simsun" w:hAnsi="Simsun"/>
          <w:color w:val="000000" w:themeColor="text1"/>
          <w:sz w:val="29"/>
          <w:szCs w:val="29"/>
        </w:rPr>
        <w:t>。课程设计应至少完成两个贯穿课程主要知识点的课程设计。</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1.2.2</w:t>
      </w:r>
      <w:r w:rsidRPr="00742212">
        <w:rPr>
          <w:rFonts w:ascii="Simsun" w:hAnsi="Simsun"/>
          <w:color w:val="000000" w:themeColor="text1"/>
          <w:sz w:val="29"/>
          <w:szCs w:val="29"/>
        </w:rPr>
        <w:t>毕业设计（论文）</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应具备科学、合理、严格的毕业设计（论文）管理制度及其质量监督保障机制，毕业设计（论文）</w:t>
      </w:r>
      <w:proofErr w:type="gramStart"/>
      <w:r w:rsidRPr="00742212">
        <w:rPr>
          <w:rFonts w:ascii="Simsun" w:hAnsi="Simsun"/>
          <w:color w:val="000000" w:themeColor="text1"/>
          <w:sz w:val="29"/>
          <w:szCs w:val="29"/>
        </w:rPr>
        <w:t>应材料</w:t>
      </w:r>
      <w:proofErr w:type="gramEnd"/>
      <w:r w:rsidRPr="00742212">
        <w:rPr>
          <w:rFonts w:ascii="Simsun" w:hAnsi="Simsun"/>
          <w:color w:val="000000" w:themeColor="text1"/>
          <w:sz w:val="29"/>
          <w:szCs w:val="29"/>
        </w:rPr>
        <w:t>齐全。选题应有明确的工程应用背景，工作量和难度适中。指导教师应引导学生完成选题、调研、查阅资料、需求分析、制定计划以及研究、设计、撰写等环节，使学生得到全面、系统的专业能力训练。指导的学生</w:t>
      </w:r>
      <w:proofErr w:type="gramStart"/>
      <w:r w:rsidRPr="00742212">
        <w:rPr>
          <w:rFonts w:ascii="Simsun" w:hAnsi="Simsun"/>
          <w:color w:val="000000" w:themeColor="text1"/>
          <w:sz w:val="29"/>
          <w:szCs w:val="29"/>
        </w:rPr>
        <w:t>应数量</w:t>
      </w:r>
      <w:proofErr w:type="gramEnd"/>
      <w:r w:rsidRPr="00742212">
        <w:rPr>
          <w:rFonts w:ascii="Simsun" w:hAnsi="Simsun"/>
          <w:color w:val="000000" w:themeColor="text1"/>
          <w:sz w:val="29"/>
          <w:szCs w:val="29"/>
        </w:rPr>
        <w:t>适当，并保证达到规定的指导次数和指导时间。</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2</w:t>
      </w:r>
      <w:r w:rsidRPr="00742212">
        <w:rPr>
          <w:rFonts w:ascii="Simsun" w:hAnsi="Simsun"/>
          <w:color w:val="000000" w:themeColor="text1"/>
          <w:sz w:val="29"/>
          <w:szCs w:val="29"/>
        </w:rPr>
        <w:t>．师资队伍</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2.1 </w:t>
      </w:r>
      <w:r w:rsidRPr="00742212">
        <w:rPr>
          <w:rFonts w:ascii="Simsun" w:hAnsi="Simsun"/>
          <w:color w:val="000000" w:themeColor="text1"/>
          <w:sz w:val="29"/>
          <w:szCs w:val="29"/>
        </w:rPr>
        <w:t>专业背景</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从事专业课教学（</w:t>
      </w:r>
      <w:proofErr w:type="gramStart"/>
      <w:r w:rsidRPr="00742212">
        <w:rPr>
          <w:rFonts w:ascii="Simsun" w:hAnsi="Simsun"/>
          <w:color w:val="000000" w:themeColor="text1"/>
          <w:sz w:val="29"/>
          <w:szCs w:val="29"/>
        </w:rPr>
        <w:t>含实践</w:t>
      </w:r>
      <w:proofErr w:type="gramEnd"/>
      <w:r w:rsidRPr="00742212">
        <w:rPr>
          <w:rFonts w:ascii="Simsun" w:hAnsi="Simsun"/>
          <w:color w:val="000000" w:themeColor="text1"/>
          <w:sz w:val="29"/>
          <w:szCs w:val="29"/>
        </w:rPr>
        <w:t>教学）的主讲教师，原则上具有硕士或博士学位（具有</w:t>
      </w:r>
      <w:r w:rsidRPr="00742212">
        <w:rPr>
          <w:rFonts w:ascii="Simsun" w:hAnsi="Simsun"/>
          <w:color w:val="000000" w:themeColor="text1"/>
          <w:sz w:val="29"/>
          <w:szCs w:val="29"/>
        </w:rPr>
        <w:t>5</w:t>
      </w:r>
      <w:r w:rsidRPr="00742212">
        <w:rPr>
          <w:rFonts w:ascii="Simsun" w:hAnsi="Simsun"/>
          <w:color w:val="000000" w:themeColor="text1"/>
          <w:sz w:val="29"/>
          <w:szCs w:val="29"/>
        </w:rPr>
        <w:t>年以上工程实践经历的教师除外）。学习经历中至少有一个是交通运输工程相关专业或已取得专业岗位资格。高级职称教师占专任教师的比例不低于</w:t>
      </w:r>
      <w:r w:rsidRPr="00742212">
        <w:rPr>
          <w:rFonts w:ascii="Simsun" w:hAnsi="Simsun"/>
          <w:color w:val="000000" w:themeColor="text1"/>
          <w:sz w:val="29"/>
          <w:szCs w:val="29"/>
        </w:rPr>
        <w:t>40%</w:t>
      </w:r>
      <w:r w:rsidRPr="00742212">
        <w:rPr>
          <w:rFonts w:ascii="Simsun" w:hAnsi="Simsun"/>
          <w:color w:val="000000" w:themeColor="text1"/>
          <w:sz w:val="29"/>
          <w:szCs w:val="29"/>
        </w:rPr>
        <w:t>。</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lastRenderedPageBreak/>
        <w:t>2.2 </w:t>
      </w:r>
      <w:r w:rsidRPr="00742212">
        <w:rPr>
          <w:rFonts w:ascii="Simsun" w:hAnsi="Simsun"/>
          <w:color w:val="000000" w:themeColor="text1"/>
          <w:sz w:val="29"/>
          <w:szCs w:val="29"/>
        </w:rPr>
        <w:t>工程背景</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从事专业课教学的主讲教师，应每</w:t>
      </w:r>
      <w:r w:rsidRPr="00742212">
        <w:rPr>
          <w:rFonts w:ascii="Simsun" w:hAnsi="Simsun"/>
          <w:color w:val="000000" w:themeColor="text1"/>
          <w:sz w:val="29"/>
          <w:szCs w:val="29"/>
        </w:rPr>
        <w:t>3</w:t>
      </w:r>
      <w:r w:rsidRPr="00742212">
        <w:rPr>
          <w:rFonts w:ascii="Simsun" w:hAnsi="Simsun"/>
          <w:color w:val="000000" w:themeColor="text1"/>
          <w:sz w:val="29"/>
          <w:szCs w:val="29"/>
        </w:rPr>
        <w:t>年有</w:t>
      </w:r>
      <w:r w:rsidRPr="00742212">
        <w:rPr>
          <w:rFonts w:ascii="Simsun" w:hAnsi="Simsun"/>
          <w:color w:val="000000" w:themeColor="text1"/>
          <w:sz w:val="29"/>
          <w:szCs w:val="29"/>
        </w:rPr>
        <w:t>3</w:t>
      </w:r>
      <w:r w:rsidRPr="00742212">
        <w:rPr>
          <w:rFonts w:ascii="Simsun" w:hAnsi="Simsun"/>
          <w:color w:val="000000" w:themeColor="text1"/>
          <w:sz w:val="29"/>
          <w:szCs w:val="29"/>
        </w:rPr>
        <w:t>个月以上的工程实践（包括现场实习或指导现场实习、参与交通运输工程项目开发、在交通运输工程企业工作等）经历。应有明确的科研方向和不间断地参与科研工作实践。</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3</w:t>
      </w:r>
      <w:r w:rsidRPr="00742212">
        <w:rPr>
          <w:rFonts w:ascii="Simsun" w:hAnsi="Simsun"/>
          <w:color w:val="000000" w:themeColor="text1"/>
          <w:sz w:val="29"/>
          <w:szCs w:val="29"/>
        </w:rPr>
        <w:t>．专业条件</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3.1 </w:t>
      </w:r>
      <w:r w:rsidRPr="00742212">
        <w:rPr>
          <w:rFonts w:ascii="Simsun" w:hAnsi="Simsun"/>
          <w:color w:val="000000" w:themeColor="text1"/>
          <w:sz w:val="29"/>
          <w:szCs w:val="29"/>
        </w:rPr>
        <w:t>专业资料</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学校图书馆或所属院（系）资料室（或分馆）中应具有与本专业有关的满足专业学生需要数量的各类文献信息资源和相应的检索工具等。</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3.2 </w:t>
      </w:r>
      <w:r w:rsidRPr="00742212">
        <w:rPr>
          <w:rFonts w:ascii="Simsun" w:hAnsi="Simsun"/>
          <w:color w:val="000000" w:themeColor="text1"/>
          <w:sz w:val="29"/>
          <w:szCs w:val="29"/>
        </w:rPr>
        <w:t>实验条件</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应拥有支撑本专业教学的实验场地和设施设备，满足大纲要求的实验项目内容和学时要求。实验室应建立完善的开放运行管理制度和实验教学质量保证体系。</w:t>
      </w:r>
    </w:p>
    <w:p w:rsidR="00F24B80" w:rsidRPr="00742212" w:rsidRDefault="00F24B80" w:rsidP="00F24B80">
      <w:pPr>
        <w:pStyle w:val="a3"/>
        <w:shd w:val="clear" w:color="auto" w:fill="FFFFFF"/>
        <w:spacing w:line="360" w:lineRule="atLeast"/>
        <w:ind w:firstLine="450"/>
        <w:rPr>
          <w:rFonts w:ascii="Simsun" w:hAnsi="Simsun"/>
          <w:color w:val="000000" w:themeColor="text1"/>
          <w:sz w:val="21"/>
          <w:szCs w:val="21"/>
        </w:rPr>
      </w:pPr>
      <w:r w:rsidRPr="00742212">
        <w:rPr>
          <w:rFonts w:ascii="Simsun" w:hAnsi="Simsun"/>
          <w:color w:val="000000" w:themeColor="text1"/>
          <w:sz w:val="29"/>
          <w:szCs w:val="29"/>
        </w:rPr>
        <w:t>3.3 </w:t>
      </w:r>
      <w:r w:rsidRPr="00742212">
        <w:rPr>
          <w:rFonts w:ascii="Simsun" w:hAnsi="Simsun"/>
          <w:color w:val="000000" w:themeColor="text1"/>
          <w:sz w:val="29"/>
          <w:szCs w:val="29"/>
        </w:rPr>
        <w:t>实践基地</w:t>
      </w:r>
    </w:p>
    <w:p w:rsidR="00F24B80" w:rsidRPr="00742212" w:rsidRDefault="00F24B80" w:rsidP="00F24B80">
      <w:pPr>
        <w:pStyle w:val="a3"/>
        <w:shd w:val="clear" w:color="auto" w:fill="FFFFFF"/>
        <w:spacing w:line="360" w:lineRule="atLeast"/>
        <w:ind w:firstLine="555"/>
        <w:rPr>
          <w:rFonts w:ascii="Simsun" w:hAnsi="Simsun"/>
          <w:color w:val="000000" w:themeColor="text1"/>
          <w:sz w:val="21"/>
          <w:szCs w:val="21"/>
        </w:rPr>
      </w:pPr>
      <w:r w:rsidRPr="00742212">
        <w:rPr>
          <w:rFonts w:ascii="Simsun" w:hAnsi="Simsun"/>
          <w:color w:val="000000" w:themeColor="text1"/>
          <w:sz w:val="29"/>
          <w:szCs w:val="29"/>
        </w:rPr>
        <w:t>应建立相对稳定的实习基地，建设年限在</w:t>
      </w:r>
      <w:r w:rsidRPr="00742212">
        <w:rPr>
          <w:rFonts w:ascii="Simsun" w:hAnsi="Simsun"/>
          <w:color w:val="000000" w:themeColor="text1"/>
          <w:sz w:val="29"/>
          <w:szCs w:val="29"/>
        </w:rPr>
        <w:t>3</w:t>
      </w:r>
      <w:r w:rsidRPr="00742212">
        <w:rPr>
          <w:rFonts w:ascii="Simsun" w:hAnsi="Simsun"/>
          <w:color w:val="000000" w:themeColor="text1"/>
          <w:sz w:val="29"/>
          <w:szCs w:val="29"/>
        </w:rPr>
        <w:t>年以上。实习基地应具有明确的实践教学目的和任务，实习的场地、设施、教辅人员</w:t>
      </w:r>
      <w:r w:rsidRPr="00742212">
        <w:rPr>
          <w:rFonts w:ascii="Simsun" w:hAnsi="Simsun"/>
          <w:color w:val="000000" w:themeColor="text1"/>
          <w:sz w:val="29"/>
          <w:szCs w:val="29"/>
        </w:rPr>
        <w:lastRenderedPageBreak/>
        <w:t>能够满足人才培养的需要。实习基地参与教学活动的人员对实践教学目标与要求有足够的理解。</w:t>
      </w:r>
    </w:p>
    <w:p w:rsidR="00436ABF" w:rsidRPr="00742212" w:rsidRDefault="00436ABF">
      <w:pPr>
        <w:rPr>
          <w:color w:val="000000" w:themeColor="text1"/>
        </w:rPr>
      </w:pPr>
    </w:p>
    <w:sectPr w:rsidR="00436ABF" w:rsidRPr="00742212" w:rsidSect="00436A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B80"/>
    <w:rsid w:val="0001133C"/>
    <w:rsid w:val="00012599"/>
    <w:rsid w:val="00021191"/>
    <w:rsid w:val="0003170B"/>
    <w:rsid w:val="00034753"/>
    <w:rsid w:val="0003606A"/>
    <w:rsid w:val="00037A8E"/>
    <w:rsid w:val="0005030E"/>
    <w:rsid w:val="00055976"/>
    <w:rsid w:val="000622AD"/>
    <w:rsid w:val="000762EA"/>
    <w:rsid w:val="00086D3C"/>
    <w:rsid w:val="000A5467"/>
    <w:rsid w:val="000B03B4"/>
    <w:rsid w:val="000C1123"/>
    <w:rsid w:val="000C2149"/>
    <w:rsid w:val="000C4679"/>
    <w:rsid w:val="000C57E1"/>
    <w:rsid w:val="000C63CE"/>
    <w:rsid w:val="000C6E8E"/>
    <w:rsid w:val="000C7AAD"/>
    <w:rsid w:val="000D04A6"/>
    <w:rsid w:val="000D1CBB"/>
    <w:rsid w:val="000D2882"/>
    <w:rsid w:val="000D349D"/>
    <w:rsid w:val="000D7803"/>
    <w:rsid w:val="000E1323"/>
    <w:rsid w:val="000E3C43"/>
    <w:rsid w:val="000F3C77"/>
    <w:rsid w:val="000F7B44"/>
    <w:rsid w:val="0011115D"/>
    <w:rsid w:val="00113047"/>
    <w:rsid w:val="0011442B"/>
    <w:rsid w:val="00120100"/>
    <w:rsid w:val="00124A7A"/>
    <w:rsid w:val="00127198"/>
    <w:rsid w:val="00134B23"/>
    <w:rsid w:val="00146321"/>
    <w:rsid w:val="00146338"/>
    <w:rsid w:val="0015100B"/>
    <w:rsid w:val="001514B9"/>
    <w:rsid w:val="00161A17"/>
    <w:rsid w:val="00167D46"/>
    <w:rsid w:val="001708D1"/>
    <w:rsid w:val="001740EC"/>
    <w:rsid w:val="00175B26"/>
    <w:rsid w:val="00175DBF"/>
    <w:rsid w:val="00177E0A"/>
    <w:rsid w:val="001812F7"/>
    <w:rsid w:val="00191037"/>
    <w:rsid w:val="00192E03"/>
    <w:rsid w:val="001A6644"/>
    <w:rsid w:val="001A6EC1"/>
    <w:rsid w:val="001B08C3"/>
    <w:rsid w:val="001B1310"/>
    <w:rsid w:val="001C3196"/>
    <w:rsid w:val="001C45B8"/>
    <w:rsid w:val="001C4C2F"/>
    <w:rsid w:val="001C658F"/>
    <w:rsid w:val="001C6AE5"/>
    <w:rsid w:val="001D2392"/>
    <w:rsid w:val="001E29A6"/>
    <w:rsid w:val="001F21BF"/>
    <w:rsid w:val="001F5681"/>
    <w:rsid w:val="001F7CF7"/>
    <w:rsid w:val="00204AD5"/>
    <w:rsid w:val="00206E38"/>
    <w:rsid w:val="0021296E"/>
    <w:rsid w:val="002151FD"/>
    <w:rsid w:val="0022320A"/>
    <w:rsid w:val="00225B8C"/>
    <w:rsid w:val="00226AFC"/>
    <w:rsid w:val="002302A4"/>
    <w:rsid w:val="00232D48"/>
    <w:rsid w:val="00233E60"/>
    <w:rsid w:val="0025765E"/>
    <w:rsid w:val="00260D43"/>
    <w:rsid w:val="00262FE2"/>
    <w:rsid w:val="00263654"/>
    <w:rsid w:val="00264408"/>
    <w:rsid w:val="002735E7"/>
    <w:rsid w:val="002801B0"/>
    <w:rsid w:val="00282D1E"/>
    <w:rsid w:val="00282ED0"/>
    <w:rsid w:val="0028389D"/>
    <w:rsid w:val="00287037"/>
    <w:rsid w:val="002958DC"/>
    <w:rsid w:val="002A57DD"/>
    <w:rsid w:val="002B6971"/>
    <w:rsid w:val="002C3019"/>
    <w:rsid w:val="002C4B6F"/>
    <w:rsid w:val="002C6076"/>
    <w:rsid w:val="002C6F0E"/>
    <w:rsid w:val="002D1488"/>
    <w:rsid w:val="002D3248"/>
    <w:rsid w:val="002D6551"/>
    <w:rsid w:val="002F4D2E"/>
    <w:rsid w:val="002F7F6C"/>
    <w:rsid w:val="00301675"/>
    <w:rsid w:val="00301A9D"/>
    <w:rsid w:val="003079FB"/>
    <w:rsid w:val="0031542F"/>
    <w:rsid w:val="0033308F"/>
    <w:rsid w:val="00333E03"/>
    <w:rsid w:val="003360DE"/>
    <w:rsid w:val="00336A16"/>
    <w:rsid w:val="0034243D"/>
    <w:rsid w:val="0034621E"/>
    <w:rsid w:val="00346F0A"/>
    <w:rsid w:val="00362885"/>
    <w:rsid w:val="003750D8"/>
    <w:rsid w:val="00392889"/>
    <w:rsid w:val="00392B4E"/>
    <w:rsid w:val="003C6EBD"/>
    <w:rsid w:val="003D33C8"/>
    <w:rsid w:val="003E3409"/>
    <w:rsid w:val="003F03CB"/>
    <w:rsid w:val="003F0E7C"/>
    <w:rsid w:val="003F26B6"/>
    <w:rsid w:val="004129E6"/>
    <w:rsid w:val="00424F9C"/>
    <w:rsid w:val="00425CAE"/>
    <w:rsid w:val="004348BE"/>
    <w:rsid w:val="00435C0D"/>
    <w:rsid w:val="00436ABF"/>
    <w:rsid w:val="00440DD4"/>
    <w:rsid w:val="00441163"/>
    <w:rsid w:val="00444019"/>
    <w:rsid w:val="004454DC"/>
    <w:rsid w:val="004539A5"/>
    <w:rsid w:val="004603DD"/>
    <w:rsid w:val="00463C65"/>
    <w:rsid w:val="00471912"/>
    <w:rsid w:val="00481B9B"/>
    <w:rsid w:val="00482A91"/>
    <w:rsid w:val="00484433"/>
    <w:rsid w:val="004902CE"/>
    <w:rsid w:val="00497110"/>
    <w:rsid w:val="00497FF2"/>
    <w:rsid w:val="004A0BBB"/>
    <w:rsid w:val="004A11F6"/>
    <w:rsid w:val="004A7F98"/>
    <w:rsid w:val="004B090E"/>
    <w:rsid w:val="004B3E08"/>
    <w:rsid w:val="004C5AB8"/>
    <w:rsid w:val="004D4602"/>
    <w:rsid w:val="004E1EED"/>
    <w:rsid w:val="004E1F3C"/>
    <w:rsid w:val="004E2935"/>
    <w:rsid w:val="004E2C27"/>
    <w:rsid w:val="004E4DB7"/>
    <w:rsid w:val="004E5AA2"/>
    <w:rsid w:val="0050212F"/>
    <w:rsid w:val="00513BB9"/>
    <w:rsid w:val="00521C25"/>
    <w:rsid w:val="00523859"/>
    <w:rsid w:val="00523C50"/>
    <w:rsid w:val="0052581F"/>
    <w:rsid w:val="00536969"/>
    <w:rsid w:val="00541FBF"/>
    <w:rsid w:val="005465CF"/>
    <w:rsid w:val="005643A3"/>
    <w:rsid w:val="005667BA"/>
    <w:rsid w:val="00572541"/>
    <w:rsid w:val="00591606"/>
    <w:rsid w:val="00593AE6"/>
    <w:rsid w:val="005A005A"/>
    <w:rsid w:val="005A080C"/>
    <w:rsid w:val="005A68CE"/>
    <w:rsid w:val="005B4BDC"/>
    <w:rsid w:val="005C4D42"/>
    <w:rsid w:val="005E127F"/>
    <w:rsid w:val="005F2D1C"/>
    <w:rsid w:val="005F66DA"/>
    <w:rsid w:val="00601A83"/>
    <w:rsid w:val="006031A3"/>
    <w:rsid w:val="00607D04"/>
    <w:rsid w:val="00612D24"/>
    <w:rsid w:val="00613330"/>
    <w:rsid w:val="006150DA"/>
    <w:rsid w:val="00617B1A"/>
    <w:rsid w:val="00635FC7"/>
    <w:rsid w:val="00644998"/>
    <w:rsid w:val="006522B8"/>
    <w:rsid w:val="0065572D"/>
    <w:rsid w:val="00667AFC"/>
    <w:rsid w:val="0067383D"/>
    <w:rsid w:val="0067459B"/>
    <w:rsid w:val="006833E0"/>
    <w:rsid w:val="0068458B"/>
    <w:rsid w:val="00691BAC"/>
    <w:rsid w:val="00697992"/>
    <w:rsid w:val="00697A25"/>
    <w:rsid w:val="006A01DD"/>
    <w:rsid w:val="006A082D"/>
    <w:rsid w:val="006A513F"/>
    <w:rsid w:val="006B25EC"/>
    <w:rsid w:val="006B5DCA"/>
    <w:rsid w:val="006C5E5D"/>
    <w:rsid w:val="006E5013"/>
    <w:rsid w:val="006F3DE3"/>
    <w:rsid w:val="00702605"/>
    <w:rsid w:val="00706051"/>
    <w:rsid w:val="0071464E"/>
    <w:rsid w:val="00722B72"/>
    <w:rsid w:val="00730DDC"/>
    <w:rsid w:val="00733687"/>
    <w:rsid w:val="00740C8C"/>
    <w:rsid w:val="00742212"/>
    <w:rsid w:val="00744B5B"/>
    <w:rsid w:val="00747D01"/>
    <w:rsid w:val="0076302E"/>
    <w:rsid w:val="00771660"/>
    <w:rsid w:val="0077458A"/>
    <w:rsid w:val="00783DF2"/>
    <w:rsid w:val="00797767"/>
    <w:rsid w:val="007A5633"/>
    <w:rsid w:val="007B6460"/>
    <w:rsid w:val="007D2C28"/>
    <w:rsid w:val="007D3CCB"/>
    <w:rsid w:val="007D546E"/>
    <w:rsid w:val="007D63B7"/>
    <w:rsid w:val="007E5794"/>
    <w:rsid w:val="007E74B8"/>
    <w:rsid w:val="007F0C95"/>
    <w:rsid w:val="00803F9B"/>
    <w:rsid w:val="00806389"/>
    <w:rsid w:val="00806F4B"/>
    <w:rsid w:val="00816305"/>
    <w:rsid w:val="00820985"/>
    <w:rsid w:val="00821B90"/>
    <w:rsid w:val="00824D81"/>
    <w:rsid w:val="00826F65"/>
    <w:rsid w:val="00833AB6"/>
    <w:rsid w:val="0083748F"/>
    <w:rsid w:val="00841BE9"/>
    <w:rsid w:val="008426AC"/>
    <w:rsid w:val="00843B81"/>
    <w:rsid w:val="008441F4"/>
    <w:rsid w:val="0084566C"/>
    <w:rsid w:val="0085638C"/>
    <w:rsid w:val="00861EE9"/>
    <w:rsid w:val="008659E5"/>
    <w:rsid w:val="008752DA"/>
    <w:rsid w:val="00893C2A"/>
    <w:rsid w:val="008A07F4"/>
    <w:rsid w:val="008A0D5E"/>
    <w:rsid w:val="008A2EA7"/>
    <w:rsid w:val="008B3089"/>
    <w:rsid w:val="008B59F9"/>
    <w:rsid w:val="008B648C"/>
    <w:rsid w:val="008C493B"/>
    <w:rsid w:val="008C675C"/>
    <w:rsid w:val="008C7BC0"/>
    <w:rsid w:val="008D101E"/>
    <w:rsid w:val="008E0603"/>
    <w:rsid w:val="008E5DD2"/>
    <w:rsid w:val="009122DA"/>
    <w:rsid w:val="009122DE"/>
    <w:rsid w:val="00922CE8"/>
    <w:rsid w:val="009239DD"/>
    <w:rsid w:val="0092430C"/>
    <w:rsid w:val="00924A2C"/>
    <w:rsid w:val="00931BDE"/>
    <w:rsid w:val="00953E82"/>
    <w:rsid w:val="00954C72"/>
    <w:rsid w:val="00957F39"/>
    <w:rsid w:val="00962295"/>
    <w:rsid w:val="00964B52"/>
    <w:rsid w:val="00964DA0"/>
    <w:rsid w:val="00971127"/>
    <w:rsid w:val="00971A0B"/>
    <w:rsid w:val="0098596B"/>
    <w:rsid w:val="0099339B"/>
    <w:rsid w:val="009A2442"/>
    <w:rsid w:val="009A4DE4"/>
    <w:rsid w:val="009A6749"/>
    <w:rsid w:val="009B4CE0"/>
    <w:rsid w:val="009C145E"/>
    <w:rsid w:val="009C2D42"/>
    <w:rsid w:val="009C56E7"/>
    <w:rsid w:val="009C61D3"/>
    <w:rsid w:val="009C6608"/>
    <w:rsid w:val="009D1C88"/>
    <w:rsid w:val="009D4A1F"/>
    <w:rsid w:val="009F06DF"/>
    <w:rsid w:val="009F2811"/>
    <w:rsid w:val="009F609F"/>
    <w:rsid w:val="00A00018"/>
    <w:rsid w:val="00A03557"/>
    <w:rsid w:val="00A10E8B"/>
    <w:rsid w:val="00A16EFF"/>
    <w:rsid w:val="00A34144"/>
    <w:rsid w:val="00A360EE"/>
    <w:rsid w:val="00A430D9"/>
    <w:rsid w:val="00A440F3"/>
    <w:rsid w:val="00A50AE1"/>
    <w:rsid w:val="00A62369"/>
    <w:rsid w:val="00A62CAC"/>
    <w:rsid w:val="00A650A9"/>
    <w:rsid w:val="00A70C76"/>
    <w:rsid w:val="00A802A3"/>
    <w:rsid w:val="00A82B04"/>
    <w:rsid w:val="00A8340C"/>
    <w:rsid w:val="00A85558"/>
    <w:rsid w:val="00A93B74"/>
    <w:rsid w:val="00A94029"/>
    <w:rsid w:val="00A950C2"/>
    <w:rsid w:val="00AA0B92"/>
    <w:rsid w:val="00AA407E"/>
    <w:rsid w:val="00AC3CC9"/>
    <w:rsid w:val="00AC4278"/>
    <w:rsid w:val="00AC4606"/>
    <w:rsid w:val="00AD0B67"/>
    <w:rsid w:val="00AD26EB"/>
    <w:rsid w:val="00AD58A4"/>
    <w:rsid w:val="00AD5C78"/>
    <w:rsid w:val="00AF19A0"/>
    <w:rsid w:val="00AF7913"/>
    <w:rsid w:val="00B018CC"/>
    <w:rsid w:val="00B12FF2"/>
    <w:rsid w:val="00B26C6F"/>
    <w:rsid w:val="00B72567"/>
    <w:rsid w:val="00B726BD"/>
    <w:rsid w:val="00B761EE"/>
    <w:rsid w:val="00B77DCB"/>
    <w:rsid w:val="00B8246A"/>
    <w:rsid w:val="00B86F7E"/>
    <w:rsid w:val="00B94B27"/>
    <w:rsid w:val="00BA057F"/>
    <w:rsid w:val="00BA6424"/>
    <w:rsid w:val="00BA7FD2"/>
    <w:rsid w:val="00BB1963"/>
    <w:rsid w:val="00BD023F"/>
    <w:rsid w:val="00BD344E"/>
    <w:rsid w:val="00BE5633"/>
    <w:rsid w:val="00BF0B80"/>
    <w:rsid w:val="00BF2720"/>
    <w:rsid w:val="00C1171E"/>
    <w:rsid w:val="00C136A5"/>
    <w:rsid w:val="00C13CC6"/>
    <w:rsid w:val="00C200E8"/>
    <w:rsid w:val="00C32597"/>
    <w:rsid w:val="00C3274F"/>
    <w:rsid w:val="00C32844"/>
    <w:rsid w:val="00C32F56"/>
    <w:rsid w:val="00C40229"/>
    <w:rsid w:val="00C51AE3"/>
    <w:rsid w:val="00C52889"/>
    <w:rsid w:val="00C551A5"/>
    <w:rsid w:val="00C70B04"/>
    <w:rsid w:val="00C74BBE"/>
    <w:rsid w:val="00C86FCF"/>
    <w:rsid w:val="00C87120"/>
    <w:rsid w:val="00CA3AAA"/>
    <w:rsid w:val="00CA60F7"/>
    <w:rsid w:val="00CC5C32"/>
    <w:rsid w:val="00CE2210"/>
    <w:rsid w:val="00CE2A2A"/>
    <w:rsid w:val="00CF1E1E"/>
    <w:rsid w:val="00CF6DEF"/>
    <w:rsid w:val="00CF6F44"/>
    <w:rsid w:val="00D01E31"/>
    <w:rsid w:val="00D02C60"/>
    <w:rsid w:val="00D036B1"/>
    <w:rsid w:val="00D07D95"/>
    <w:rsid w:val="00D2469C"/>
    <w:rsid w:val="00D334E6"/>
    <w:rsid w:val="00D3356E"/>
    <w:rsid w:val="00D3567E"/>
    <w:rsid w:val="00D6388B"/>
    <w:rsid w:val="00D66F9D"/>
    <w:rsid w:val="00D72B44"/>
    <w:rsid w:val="00D805CD"/>
    <w:rsid w:val="00D97A50"/>
    <w:rsid w:val="00DA304F"/>
    <w:rsid w:val="00DB4B80"/>
    <w:rsid w:val="00DB61B6"/>
    <w:rsid w:val="00DB67FC"/>
    <w:rsid w:val="00DC0FA5"/>
    <w:rsid w:val="00DC0FF6"/>
    <w:rsid w:val="00DC407F"/>
    <w:rsid w:val="00DC46AE"/>
    <w:rsid w:val="00DD0E57"/>
    <w:rsid w:val="00DD3052"/>
    <w:rsid w:val="00DD7F2D"/>
    <w:rsid w:val="00DF3C2B"/>
    <w:rsid w:val="00DF571E"/>
    <w:rsid w:val="00DF5E90"/>
    <w:rsid w:val="00DF7E7B"/>
    <w:rsid w:val="00E06FA5"/>
    <w:rsid w:val="00E112B1"/>
    <w:rsid w:val="00E1790D"/>
    <w:rsid w:val="00E22723"/>
    <w:rsid w:val="00E64874"/>
    <w:rsid w:val="00E72DB3"/>
    <w:rsid w:val="00E73FF4"/>
    <w:rsid w:val="00E77F05"/>
    <w:rsid w:val="00E86E53"/>
    <w:rsid w:val="00E912D7"/>
    <w:rsid w:val="00E9573E"/>
    <w:rsid w:val="00E96854"/>
    <w:rsid w:val="00E96868"/>
    <w:rsid w:val="00EB2C00"/>
    <w:rsid w:val="00EB531C"/>
    <w:rsid w:val="00EB626C"/>
    <w:rsid w:val="00EC4B2A"/>
    <w:rsid w:val="00ED32ED"/>
    <w:rsid w:val="00EE1097"/>
    <w:rsid w:val="00EE3424"/>
    <w:rsid w:val="00EE4EFA"/>
    <w:rsid w:val="00EF14D5"/>
    <w:rsid w:val="00EF2B4C"/>
    <w:rsid w:val="00EF53F8"/>
    <w:rsid w:val="00F02337"/>
    <w:rsid w:val="00F03FE2"/>
    <w:rsid w:val="00F11157"/>
    <w:rsid w:val="00F16621"/>
    <w:rsid w:val="00F24B80"/>
    <w:rsid w:val="00F24C8F"/>
    <w:rsid w:val="00F33FA2"/>
    <w:rsid w:val="00F35F63"/>
    <w:rsid w:val="00F37DC4"/>
    <w:rsid w:val="00F40BEA"/>
    <w:rsid w:val="00F4422D"/>
    <w:rsid w:val="00F47083"/>
    <w:rsid w:val="00F645C1"/>
    <w:rsid w:val="00F6691D"/>
    <w:rsid w:val="00F66C0B"/>
    <w:rsid w:val="00F67074"/>
    <w:rsid w:val="00F67632"/>
    <w:rsid w:val="00F72708"/>
    <w:rsid w:val="00F80CC6"/>
    <w:rsid w:val="00F80F73"/>
    <w:rsid w:val="00F82C87"/>
    <w:rsid w:val="00F91EDF"/>
    <w:rsid w:val="00F93941"/>
    <w:rsid w:val="00F95C2F"/>
    <w:rsid w:val="00F96633"/>
    <w:rsid w:val="00FA1252"/>
    <w:rsid w:val="00FB3F75"/>
    <w:rsid w:val="00FC402A"/>
    <w:rsid w:val="00FD27AA"/>
    <w:rsid w:val="00FE4C77"/>
    <w:rsid w:val="00FF7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B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62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2015-11-02T01:10:00Z</dcterms:created>
  <dcterms:modified xsi:type="dcterms:W3CDTF">2015-11-02T01:11:00Z</dcterms:modified>
</cp:coreProperties>
</file>