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92B" w:rsidRPr="0035492B" w:rsidRDefault="0035492B" w:rsidP="0035492B">
      <w:pPr>
        <w:widowControl/>
        <w:pBdr>
          <w:bottom w:val="single" w:sz="6" w:space="3" w:color="ECECEC"/>
        </w:pBdr>
        <w:shd w:val="clear" w:color="auto" w:fill="FFFFFF"/>
        <w:spacing w:before="340" w:after="329" w:line="353" w:lineRule="atLeast"/>
        <w:jc w:val="center"/>
        <w:outlineLvl w:val="0"/>
        <w:rPr>
          <w:rFonts w:ascii="微软雅黑" w:eastAsia="微软雅黑" w:hAnsi="微软雅黑" w:cs="Tahoma"/>
          <w:b/>
          <w:bCs/>
          <w:color w:val="0C59A9"/>
          <w:kern w:val="36"/>
          <w:sz w:val="30"/>
          <w:szCs w:val="30"/>
        </w:rPr>
      </w:pPr>
      <w:r w:rsidRPr="0035492B">
        <w:rPr>
          <w:rFonts w:ascii="微软雅黑" w:eastAsia="微软雅黑" w:hAnsi="微软雅黑" w:cs="Tahoma" w:hint="eastAsia"/>
          <w:b/>
          <w:bCs/>
          <w:color w:val="0C59A9"/>
          <w:kern w:val="36"/>
          <w:sz w:val="30"/>
          <w:szCs w:val="30"/>
        </w:rPr>
        <w:t>工程教育认证标准（2014版）-专业补充标准-土木类</w:t>
      </w:r>
    </w:p>
    <w:p w:rsidR="0035492B" w:rsidRPr="0035492B" w:rsidRDefault="000F2A5F" w:rsidP="0035492B">
      <w:pPr>
        <w:widowControl/>
        <w:shd w:val="clear" w:color="auto" w:fill="FFFFFF"/>
        <w:spacing w:beforeAutospacing="1" w:afterAutospacing="1"/>
        <w:jc w:val="center"/>
        <w:rPr>
          <w:rFonts w:ascii="Tahoma" w:eastAsia="宋体" w:hAnsi="Tahoma" w:cs="Tahoma"/>
          <w:color w:val="333333"/>
          <w:kern w:val="0"/>
          <w:sz w:val="16"/>
          <w:szCs w:val="16"/>
        </w:rPr>
      </w:pPr>
      <w:r>
        <w:rPr>
          <w:rFonts w:ascii="Tahoma" w:eastAsia="宋体" w:hAnsi="Tahoma" w:cs="Tahoma" w:hint="eastAsia"/>
          <w:color w:val="787878"/>
          <w:kern w:val="0"/>
          <w:sz w:val="16"/>
          <w:szCs w:val="16"/>
        </w:rPr>
        <w:t xml:space="preserve"> </w:t>
      </w:r>
    </w:p>
    <w:p w:rsidR="0035492B" w:rsidRPr="0035492B" w:rsidRDefault="0035492B" w:rsidP="0035492B">
      <w:pPr>
        <w:widowControl/>
        <w:shd w:val="clear" w:color="auto" w:fill="FFFFFF"/>
        <w:spacing w:before="340" w:after="329" w:line="360" w:lineRule="auto"/>
        <w:outlineLvl w:val="0"/>
        <w:rPr>
          <w:rFonts w:ascii="宋体" w:eastAsia="宋体" w:hAnsi="宋体" w:cs="Tahoma"/>
          <w:b/>
          <w:bCs/>
          <w:color w:val="000000"/>
          <w:kern w:val="36"/>
          <w:sz w:val="44"/>
          <w:szCs w:val="44"/>
        </w:rPr>
      </w:pPr>
      <w:bookmarkStart w:id="0" w:name="_Toc383654180"/>
      <w:bookmarkStart w:id="1" w:name="_Toc322169722"/>
      <w:bookmarkStart w:id="2" w:name="_Toc321580457"/>
      <w:bookmarkStart w:id="3" w:name="_Toc383649032"/>
      <w:bookmarkStart w:id="4" w:name="_Toc383648773"/>
      <w:bookmarkStart w:id="5" w:name="_Toc383059454"/>
      <w:bookmarkStart w:id="6" w:name="_Toc383059361"/>
      <w:bookmarkStart w:id="7" w:name="_Toc332582542"/>
      <w:bookmarkStart w:id="8" w:name="_Toc330299061"/>
      <w:bookmarkStart w:id="9" w:name="_Toc328064292"/>
      <w:bookmarkStart w:id="10" w:name="_Toc328064191"/>
      <w:bookmarkStart w:id="11" w:name="_Toc325651688"/>
      <w:bookmarkStart w:id="12" w:name="_Toc383649033"/>
      <w:bookmarkStart w:id="13" w:name="_Toc383059455"/>
      <w:bookmarkStart w:id="14" w:name="_Toc383059362"/>
      <w:bookmarkStart w:id="15" w:name="_Toc332582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35492B">
        <w:rPr>
          <w:rFonts w:ascii="黑体" w:eastAsia="黑体" w:hAnsi="黑体" w:cs="Tahoma" w:hint="eastAsia"/>
          <w:b/>
          <w:bCs/>
          <w:color w:val="000000"/>
          <w:kern w:val="36"/>
          <w:sz w:val="44"/>
          <w:szCs w:val="44"/>
        </w:rPr>
        <w:t>工程教育认证标准</w:t>
      </w:r>
    </w:p>
    <w:p w:rsidR="0035492B" w:rsidRPr="0035492B" w:rsidRDefault="0035492B" w:rsidP="0035492B">
      <w:pPr>
        <w:widowControl/>
        <w:shd w:val="clear" w:color="auto" w:fill="FFFFFF"/>
        <w:spacing w:before="261" w:after="261" w:line="360" w:lineRule="auto"/>
        <w:outlineLvl w:val="2"/>
        <w:rPr>
          <w:rFonts w:ascii="宋体" w:eastAsia="宋体" w:hAnsi="宋体" w:cs="Tahoma"/>
          <w:b/>
          <w:bCs/>
          <w:color w:val="000000"/>
          <w:kern w:val="0"/>
          <w:sz w:val="32"/>
          <w:szCs w:val="32"/>
        </w:rPr>
      </w:pPr>
      <w:bookmarkStart w:id="16" w:name="_Toc383654190"/>
      <w:bookmarkStart w:id="17" w:name="_Toc383649042"/>
      <w:bookmarkStart w:id="18" w:name="_Toc332582552"/>
      <w:bookmarkStart w:id="19" w:name="_Toc330299071"/>
      <w:bookmarkEnd w:id="16"/>
      <w:bookmarkEnd w:id="17"/>
      <w:bookmarkEnd w:id="18"/>
      <w:bookmarkEnd w:id="19"/>
      <w:r w:rsidRPr="0035492B">
        <w:rPr>
          <w:rFonts w:ascii="黑体" w:eastAsia="黑体" w:hAnsi="黑体" w:cs="Tahoma" w:hint="eastAsia"/>
          <w:b/>
          <w:bCs/>
          <w:color w:val="000000"/>
          <w:kern w:val="0"/>
          <w:sz w:val="32"/>
          <w:szCs w:val="32"/>
        </w:rPr>
        <w:t>2．专业补充标准</w:t>
      </w:r>
    </w:p>
    <w:p w:rsidR="0035492B" w:rsidRPr="0035492B" w:rsidRDefault="0035492B" w:rsidP="0035492B">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35492B">
        <w:rPr>
          <w:rFonts w:ascii="黑体" w:eastAsia="黑体" w:hAnsi="黑体" w:cs="Tahoma" w:hint="eastAsia"/>
          <w:color w:val="333333"/>
          <w:kern w:val="0"/>
          <w:sz w:val="22"/>
        </w:rPr>
        <w:t>专业必须满足相应的专业补充标准。专业补充标准规定了相应专业在课程体系、师资队伍和支持条件方面的特殊要求。</w:t>
      </w:r>
    </w:p>
    <w:p w:rsidR="0035492B" w:rsidRPr="0035492B" w:rsidRDefault="0035492B" w:rsidP="0035492B">
      <w:pPr>
        <w:widowControl/>
        <w:shd w:val="clear" w:color="auto" w:fill="FFFFFF"/>
        <w:spacing w:before="261" w:after="261" w:line="360" w:lineRule="auto"/>
        <w:outlineLvl w:val="2"/>
        <w:rPr>
          <w:rFonts w:ascii="宋体" w:eastAsia="宋体" w:hAnsi="宋体" w:cs="Tahoma"/>
          <w:b/>
          <w:bCs/>
          <w:color w:val="000000"/>
          <w:kern w:val="0"/>
          <w:sz w:val="32"/>
          <w:szCs w:val="32"/>
        </w:rPr>
      </w:pPr>
      <w:bookmarkStart w:id="20" w:name="_Toc383654210"/>
      <w:bookmarkStart w:id="21" w:name="_Toc383649063"/>
      <w:bookmarkStart w:id="22" w:name="_GoBack"/>
      <w:bookmarkEnd w:id="20"/>
      <w:bookmarkEnd w:id="21"/>
      <w:bookmarkEnd w:id="22"/>
      <w:r w:rsidRPr="0035492B">
        <w:rPr>
          <w:rFonts w:ascii="黑体" w:eastAsia="黑体" w:hAnsi="黑体" w:cs="Tahoma" w:hint="eastAsia"/>
          <w:color w:val="000000"/>
          <w:kern w:val="0"/>
          <w:sz w:val="32"/>
          <w:szCs w:val="32"/>
        </w:rPr>
        <w:t>土木类专业</w:t>
      </w:r>
    </w:p>
    <w:p w:rsidR="0035492B" w:rsidRPr="0035492B" w:rsidRDefault="0035492B" w:rsidP="0035492B">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35492B">
        <w:rPr>
          <w:rFonts w:ascii="黑体" w:eastAsia="黑体" w:hAnsi="黑体" w:cs="Tahoma" w:hint="eastAsia"/>
          <w:color w:val="333333"/>
          <w:kern w:val="0"/>
          <w:sz w:val="22"/>
        </w:rPr>
        <w:t>本补充标准适用于土木类专业，包括土木工程专业、给排水科学与工程专业、建筑环境与能源应用工程专业等。</w:t>
      </w:r>
    </w:p>
    <w:p w:rsidR="0035492B" w:rsidRPr="0035492B" w:rsidRDefault="0035492B" w:rsidP="0035492B">
      <w:pPr>
        <w:widowControl/>
        <w:shd w:val="clear" w:color="auto" w:fill="FFFFFF"/>
        <w:spacing w:before="100" w:beforeAutospacing="1" w:line="360" w:lineRule="auto"/>
        <w:rPr>
          <w:rFonts w:ascii="Tahoma" w:eastAsia="宋体" w:hAnsi="Tahoma" w:cs="Tahoma"/>
          <w:color w:val="333333"/>
          <w:kern w:val="0"/>
          <w:sz w:val="19"/>
          <w:szCs w:val="19"/>
        </w:rPr>
      </w:pPr>
      <w:r w:rsidRPr="0035492B">
        <w:rPr>
          <w:rFonts w:ascii="黑体" w:eastAsia="黑体" w:hAnsi="黑体" w:cs="Tahoma" w:hint="eastAsia"/>
          <w:color w:val="333333"/>
          <w:kern w:val="0"/>
          <w:sz w:val="25"/>
          <w:szCs w:val="25"/>
        </w:rPr>
        <w:t>1．课程体系</w:t>
      </w:r>
    </w:p>
    <w:p w:rsidR="0035492B" w:rsidRPr="0035492B" w:rsidRDefault="0035492B" w:rsidP="0035492B">
      <w:pPr>
        <w:widowControl/>
        <w:shd w:val="clear" w:color="auto" w:fill="FFFFFF"/>
        <w:spacing w:before="100" w:beforeAutospacing="1" w:line="360" w:lineRule="auto"/>
        <w:rPr>
          <w:rFonts w:ascii="Tahoma" w:eastAsia="宋体" w:hAnsi="Tahoma" w:cs="Tahoma"/>
          <w:color w:val="333333"/>
          <w:kern w:val="0"/>
          <w:sz w:val="19"/>
          <w:szCs w:val="19"/>
        </w:rPr>
      </w:pPr>
      <w:r w:rsidRPr="0035492B">
        <w:rPr>
          <w:rFonts w:ascii="黑体" w:eastAsia="黑体" w:hAnsi="黑体" w:cs="Tahoma" w:hint="eastAsia"/>
          <w:color w:val="333333"/>
          <w:kern w:val="0"/>
          <w:sz w:val="22"/>
        </w:rPr>
        <w:t>1.1 课程设置</w:t>
      </w:r>
    </w:p>
    <w:p w:rsidR="0035492B" w:rsidRPr="0035492B" w:rsidRDefault="0035492B" w:rsidP="0035492B">
      <w:pPr>
        <w:widowControl/>
        <w:shd w:val="clear" w:color="auto" w:fill="FFFFFF"/>
        <w:spacing w:before="100" w:beforeAutospacing="1" w:line="360" w:lineRule="auto"/>
        <w:ind w:firstLine="482"/>
        <w:rPr>
          <w:rFonts w:ascii="Tahoma" w:eastAsia="宋体" w:hAnsi="Tahoma" w:cs="Tahoma"/>
          <w:color w:val="333333"/>
          <w:kern w:val="0"/>
          <w:sz w:val="19"/>
          <w:szCs w:val="19"/>
        </w:rPr>
      </w:pPr>
      <w:r w:rsidRPr="0035492B">
        <w:rPr>
          <w:rFonts w:ascii="黑体" w:eastAsia="黑体" w:hAnsi="黑体" w:cs="Tahoma" w:hint="eastAsia"/>
          <w:color w:val="333333"/>
          <w:kern w:val="0"/>
          <w:sz w:val="22"/>
        </w:rPr>
        <w:t>本补充标准仅对数学与自然科学类、工程基础类、专业基础类、专业类、人文社会科学类课程的知识领域提出基本要求，具体课程由学校根据自身定位、培养目标和办学特色自主设置。</w:t>
      </w:r>
    </w:p>
    <w:p w:rsidR="0035492B" w:rsidRPr="0035492B" w:rsidRDefault="0035492B" w:rsidP="0035492B">
      <w:pPr>
        <w:widowControl/>
        <w:shd w:val="clear" w:color="auto" w:fill="FFFFFF"/>
        <w:spacing w:before="100" w:beforeAutospacing="1" w:line="360" w:lineRule="auto"/>
        <w:rPr>
          <w:rFonts w:ascii="黑体" w:eastAsia="黑体" w:hAnsi="黑体" w:cs="Tahoma"/>
          <w:color w:val="333333"/>
          <w:kern w:val="0"/>
          <w:sz w:val="19"/>
          <w:szCs w:val="19"/>
        </w:rPr>
      </w:pPr>
      <w:r w:rsidRPr="0035492B">
        <w:rPr>
          <w:rFonts w:ascii="黑体" w:eastAsia="黑体" w:hAnsi="黑体" w:cs="Tahoma" w:hint="eastAsia"/>
          <w:color w:val="333333"/>
          <w:kern w:val="0"/>
          <w:sz w:val="22"/>
        </w:rPr>
        <w:t>1.1.1 数学与自然科学类课程</w:t>
      </w:r>
    </w:p>
    <w:p w:rsidR="0035492B" w:rsidRPr="0035492B" w:rsidRDefault="0035492B" w:rsidP="0035492B">
      <w:pPr>
        <w:widowControl/>
        <w:shd w:val="clear" w:color="auto" w:fill="FFFFFF"/>
        <w:spacing w:before="100" w:beforeAutospacing="1" w:line="360" w:lineRule="auto"/>
        <w:ind w:firstLine="482"/>
        <w:rPr>
          <w:rFonts w:ascii="Tahoma" w:eastAsia="宋体" w:hAnsi="Tahoma" w:cs="Tahoma"/>
          <w:color w:val="333333"/>
          <w:kern w:val="0"/>
          <w:sz w:val="19"/>
          <w:szCs w:val="19"/>
        </w:rPr>
      </w:pPr>
      <w:r w:rsidRPr="0035492B">
        <w:rPr>
          <w:rFonts w:ascii="黑体" w:eastAsia="黑体" w:hAnsi="黑体" w:cs="Tahoma" w:hint="eastAsia"/>
          <w:color w:val="333333"/>
          <w:kern w:val="0"/>
          <w:sz w:val="22"/>
        </w:rPr>
        <w:t>数学类课程应包括微积分、线性代数、概率论与数理统计等知识领域。自然科学类课程应包括物理学、化学等知识领域</w:t>
      </w:r>
      <w:r w:rsidRPr="0035492B">
        <w:rPr>
          <w:rFonts w:ascii="Tahoma" w:eastAsia="宋体" w:hAnsi="Tahoma" w:cs="Tahoma"/>
          <w:color w:val="333333"/>
          <w:kern w:val="0"/>
          <w:sz w:val="19"/>
          <w:szCs w:val="19"/>
        </w:rPr>
        <w:t>。</w:t>
      </w:r>
    </w:p>
    <w:p w:rsidR="0035492B" w:rsidRPr="0035492B" w:rsidRDefault="0035492B" w:rsidP="0035492B">
      <w:pPr>
        <w:widowControl/>
        <w:shd w:val="clear" w:color="auto" w:fill="FFFFFF"/>
        <w:spacing w:before="100" w:beforeAutospacing="1" w:line="360" w:lineRule="auto"/>
        <w:rPr>
          <w:rFonts w:ascii="黑体" w:eastAsia="黑体" w:hAnsi="黑体" w:cs="Tahoma"/>
          <w:color w:val="333333"/>
          <w:kern w:val="0"/>
          <w:sz w:val="19"/>
          <w:szCs w:val="19"/>
        </w:rPr>
      </w:pPr>
      <w:r w:rsidRPr="0035492B">
        <w:rPr>
          <w:rFonts w:ascii="黑体" w:eastAsia="黑体" w:hAnsi="黑体" w:cs="Tahoma" w:hint="eastAsia"/>
          <w:color w:val="333333"/>
          <w:kern w:val="0"/>
          <w:sz w:val="19"/>
          <w:szCs w:val="19"/>
        </w:rPr>
        <w:t>1.1.2 工程基础类课程</w:t>
      </w:r>
    </w:p>
    <w:p w:rsidR="0035492B" w:rsidRPr="0035492B" w:rsidRDefault="0035492B" w:rsidP="0035492B">
      <w:pPr>
        <w:widowControl/>
        <w:shd w:val="clear" w:color="auto" w:fill="FFFFFF"/>
        <w:spacing w:before="100" w:beforeAutospacing="1" w:line="360" w:lineRule="auto"/>
        <w:ind w:firstLine="482"/>
        <w:rPr>
          <w:rFonts w:ascii="Tahoma" w:eastAsia="宋体" w:hAnsi="Tahoma" w:cs="Tahoma"/>
          <w:color w:val="333333"/>
          <w:kern w:val="0"/>
          <w:sz w:val="19"/>
          <w:szCs w:val="19"/>
        </w:rPr>
      </w:pPr>
      <w:r w:rsidRPr="0035492B">
        <w:rPr>
          <w:rFonts w:ascii="黑体" w:eastAsia="黑体" w:hAnsi="黑体" w:cs="Tahoma" w:hint="eastAsia"/>
          <w:color w:val="333333"/>
          <w:kern w:val="0"/>
          <w:sz w:val="22"/>
        </w:rPr>
        <w:lastRenderedPageBreak/>
        <w:t>土木工程专业：包括理论力学、材料力学、结构力学、流体力学（水力学）、土力学、工程地质、工程材料、工程制图、工程测量以及房屋建筑学、工程经济、计算机技术与应用等相关知识。</w:t>
      </w:r>
    </w:p>
    <w:p w:rsidR="0035492B" w:rsidRPr="0035492B" w:rsidRDefault="0035492B" w:rsidP="0035492B">
      <w:pPr>
        <w:widowControl/>
        <w:shd w:val="clear" w:color="auto" w:fill="FFFFFF"/>
        <w:spacing w:before="100" w:beforeAutospacing="1" w:line="360" w:lineRule="auto"/>
        <w:ind w:firstLine="482"/>
        <w:rPr>
          <w:rFonts w:ascii="Tahoma" w:eastAsia="宋体" w:hAnsi="Tahoma" w:cs="Tahoma"/>
          <w:color w:val="333333"/>
          <w:kern w:val="0"/>
          <w:sz w:val="19"/>
          <w:szCs w:val="19"/>
        </w:rPr>
      </w:pPr>
      <w:r w:rsidRPr="0035492B">
        <w:rPr>
          <w:rFonts w:ascii="黑体" w:eastAsia="黑体" w:hAnsi="黑体" w:cs="Tahoma" w:hint="eastAsia"/>
          <w:color w:val="333333"/>
          <w:kern w:val="0"/>
          <w:sz w:val="22"/>
        </w:rPr>
        <w:t>给排水科学与工程专业：包括土建工程基础、工程制图、工程测量、工程力学、工程施工技术、工程项目管理、工程经济、计算机技术与应用等相关知识。</w:t>
      </w:r>
    </w:p>
    <w:p w:rsidR="0035492B" w:rsidRPr="0035492B" w:rsidRDefault="0035492B" w:rsidP="0035492B">
      <w:pPr>
        <w:widowControl/>
        <w:shd w:val="clear" w:color="auto" w:fill="FFFFFF"/>
        <w:spacing w:before="100" w:beforeAutospacing="1" w:line="360" w:lineRule="auto"/>
        <w:ind w:firstLine="482"/>
        <w:rPr>
          <w:rFonts w:ascii="Tahoma" w:eastAsia="宋体" w:hAnsi="Tahoma" w:cs="Tahoma"/>
          <w:color w:val="333333"/>
          <w:kern w:val="0"/>
          <w:sz w:val="19"/>
          <w:szCs w:val="19"/>
        </w:rPr>
      </w:pPr>
      <w:r w:rsidRPr="0035492B">
        <w:rPr>
          <w:rFonts w:ascii="黑体" w:eastAsia="黑体" w:hAnsi="黑体" w:cs="Tahoma" w:hint="eastAsia"/>
          <w:color w:val="333333"/>
          <w:kern w:val="0"/>
          <w:sz w:val="22"/>
        </w:rPr>
        <w:t>建筑环境与能源应用工程专业：包括工程力学、传热学、工程热力学、流体力学、工程制图、工程测量、工程施工技术、工程项目管理、工程经济、计算机技术与应用等相关知识。</w:t>
      </w:r>
    </w:p>
    <w:p w:rsidR="0035492B" w:rsidRPr="0035492B" w:rsidRDefault="0035492B" w:rsidP="0035492B">
      <w:pPr>
        <w:widowControl/>
        <w:shd w:val="clear" w:color="auto" w:fill="FFFFFF"/>
        <w:spacing w:before="100" w:beforeAutospacing="1" w:line="360" w:lineRule="auto"/>
        <w:rPr>
          <w:rFonts w:ascii="黑体" w:eastAsia="黑体" w:hAnsi="黑体" w:cs="Tahoma"/>
          <w:color w:val="333333"/>
          <w:kern w:val="0"/>
          <w:sz w:val="19"/>
          <w:szCs w:val="19"/>
        </w:rPr>
      </w:pPr>
      <w:r w:rsidRPr="0035492B">
        <w:rPr>
          <w:rFonts w:ascii="黑体" w:eastAsia="黑体" w:hAnsi="黑体" w:cs="Tahoma" w:hint="eastAsia"/>
          <w:color w:val="333333"/>
          <w:kern w:val="0"/>
          <w:sz w:val="22"/>
        </w:rPr>
        <w:t>1.1.3 专业基础类课程</w:t>
      </w:r>
    </w:p>
    <w:p w:rsidR="0035492B" w:rsidRPr="0035492B" w:rsidRDefault="0035492B" w:rsidP="0035492B">
      <w:pPr>
        <w:widowControl/>
        <w:shd w:val="clear" w:color="auto" w:fill="FFFFFF"/>
        <w:spacing w:before="100" w:beforeAutospacing="1" w:line="360" w:lineRule="auto"/>
        <w:ind w:firstLine="482"/>
        <w:rPr>
          <w:rFonts w:ascii="Tahoma" w:eastAsia="宋体" w:hAnsi="Tahoma" w:cs="Tahoma"/>
          <w:color w:val="333333"/>
          <w:kern w:val="0"/>
          <w:sz w:val="19"/>
          <w:szCs w:val="19"/>
        </w:rPr>
      </w:pPr>
      <w:r w:rsidRPr="0035492B">
        <w:rPr>
          <w:rFonts w:ascii="黑体" w:eastAsia="黑体" w:hAnsi="黑体" w:cs="Tahoma" w:hint="eastAsia"/>
          <w:color w:val="333333"/>
          <w:kern w:val="0"/>
          <w:sz w:val="22"/>
        </w:rPr>
        <w:t>土木工程专业：包括工程荷载与可靠度设计原理、混凝土结构、钢结构、基础工程、工程施工技术、工程施工组织、工程试验等。</w:t>
      </w:r>
    </w:p>
    <w:p w:rsidR="0035492B" w:rsidRPr="0035492B" w:rsidRDefault="0035492B" w:rsidP="0035492B">
      <w:pPr>
        <w:widowControl/>
        <w:shd w:val="clear" w:color="auto" w:fill="FFFFFF"/>
        <w:spacing w:before="100" w:beforeAutospacing="1" w:line="360" w:lineRule="auto"/>
        <w:ind w:firstLine="482"/>
        <w:rPr>
          <w:rFonts w:ascii="Tahoma" w:eastAsia="宋体" w:hAnsi="Tahoma" w:cs="Tahoma"/>
          <w:color w:val="333333"/>
          <w:kern w:val="0"/>
          <w:sz w:val="19"/>
          <w:szCs w:val="19"/>
        </w:rPr>
      </w:pPr>
      <w:r w:rsidRPr="0035492B">
        <w:rPr>
          <w:rFonts w:ascii="黑体" w:eastAsia="黑体" w:hAnsi="黑体" w:cs="Tahoma" w:hint="eastAsia"/>
          <w:color w:val="333333"/>
          <w:kern w:val="0"/>
          <w:sz w:val="22"/>
        </w:rPr>
        <w:t>给排水科学与工程专业：包括水文与水文地质学、水分析化学、水处理生物学、水力学、水质工程学、给水排水管网系统、建筑给水排水工程、水资源保护与利用等。</w:t>
      </w:r>
    </w:p>
    <w:p w:rsidR="0035492B" w:rsidRPr="0035492B" w:rsidRDefault="0035492B" w:rsidP="0035492B">
      <w:pPr>
        <w:widowControl/>
        <w:shd w:val="clear" w:color="auto" w:fill="FFFFFF"/>
        <w:spacing w:before="100" w:beforeAutospacing="1" w:line="360" w:lineRule="auto"/>
        <w:ind w:firstLine="482"/>
        <w:rPr>
          <w:rFonts w:ascii="Tahoma" w:eastAsia="宋体" w:hAnsi="Tahoma" w:cs="Tahoma"/>
          <w:color w:val="333333"/>
          <w:kern w:val="0"/>
          <w:sz w:val="19"/>
          <w:szCs w:val="19"/>
        </w:rPr>
      </w:pPr>
      <w:r w:rsidRPr="0035492B">
        <w:rPr>
          <w:rFonts w:ascii="黑体" w:eastAsia="黑体" w:hAnsi="黑体" w:cs="Tahoma" w:hint="eastAsia"/>
          <w:color w:val="333333"/>
          <w:kern w:val="0"/>
          <w:sz w:val="22"/>
        </w:rPr>
        <w:t>建筑环境与能源应用工程专业：包括建筑环境学、机械设计基础、流体输配管网、热质交换原理与设备、暖通空调、冷热源技术、燃气供应、建筑给排水、建筑自动化、建筑环境测试技术等。</w:t>
      </w:r>
    </w:p>
    <w:p w:rsidR="0035492B" w:rsidRPr="0035492B" w:rsidRDefault="0035492B" w:rsidP="0035492B">
      <w:pPr>
        <w:widowControl/>
        <w:shd w:val="clear" w:color="auto" w:fill="FFFFFF"/>
        <w:spacing w:before="100" w:beforeAutospacing="1" w:line="360" w:lineRule="auto"/>
        <w:rPr>
          <w:rFonts w:ascii="黑体" w:eastAsia="黑体" w:hAnsi="黑体" w:cs="Tahoma"/>
          <w:color w:val="333333"/>
          <w:kern w:val="0"/>
          <w:sz w:val="19"/>
          <w:szCs w:val="19"/>
        </w:rPr>
      </w:pPr>
      <w:r w:rsidRPr="0035492B">
        <w:rPr>
          <w:rFonts w:ascii="黑体" w:eastAsia="黑体" w:hAnsi="黑体" w:cs="Tahoma" w:hint="eastAsia"/>
          <w:color w:val="333333"/>
          <w:kern w:val="0"/>
          <w:sz w:val="19"/>
          <w:szCs w:val="19"/>
        </w:rPr>
        <w:t>1.1.4 专业类课程</w:t>
      </w:r>
    </w:p>
    <w:p w:rsidR="0035492B" w:rsidRPr="0035492B" w:rsidRDefault="0035492B" w:rsidP="0035492B">
      <w:pPr>
        <w:widowControl/>
        <w:shd w:val="clear" w:color="auto" w:fill="FFFFFF"/>
        <w:spacing w:before="100" w:beforeAutospacing="1" w:line="360" w:lineRule="auto"/>
        <w:ind w:firstLine="482"/>
        <w:rPr>
          <w:rFonts w:ascii="Tahoma" w:eastAsia="宋体" w:hAnsi="Tahoma" w:cs="Tahoma"/>
          <w:color w:val="333333"/>
          <w:kern w:val="0"/>
          <w:sz w:val="19"/>
          <w:szCs w:val="19"/>
        </w:rPr>
      </w:pPr>
      <w:r w:rsidRPr="0035492B">
        <w:rPr>
          <w:rFonts w:ascii="Tahoma" w:eastAsia="宋体" w:hAnsi="Tahoma" w:cs="Tahoma"/>
          <w:color w:val="333333"/>
          <w:kern w:val="0"/>
          <w:sz w:val="19"/>
          <w:szCs w:val="19"/>
        </w:rPr>
        <w:t>各校可根据社会发展需求及自身优势和特点设置课程，办出特色。</w:t>
      </w:r>
    </w:p>
    <w:p w:rsidR="0035492B" w:rsidRPr="0035492B" w:rsidRDefault="0035492B" w:rsidP="0035492B">
      <w:pPr>
        <w:widowControl/>
        <w:shd w:val="clear" w:color="auto" w:fill="FFFFFF"/>
        <w:spacing w:before="100" w:beforeAutospacing="1" w:line="360" w:lineRule="auto"/>
        <w:rPr>
          <w:rFonts w:ascii="黑体" w:eastAsia="黑体" w:hAnsi="黑体" w:cs="Tahoma"/>
          <w:color w:val="333333"/>
          <w:kern w:val="0"/>
          <w:sz w:val="19"/>
          <w:szCs w:val="19"/>
        </w:rPr>
      </w:pPr>
      <w:r w:rsidRPr="0035492B">
        <w:rPr>
          <w:rFonts w:ascii="黑体" w:eastAsia="黑体" w:hAnsi="黑体" w:cs="Tahoma" w:hint="eastAsia"/>
          <w:color w:val="333333"/>
          <w:kern w:val="0"/>
          <w:sz w:val="19"/>
          <w:szCs w:val="19"/>
        </w:rPr>
        <w:t>1.1.5 人文社会科学类课程</w:t>
      </w:r>
    </w:p>
    <w:p w:rsidR="0035492B" w:rsidRPr="0035492B" w:rsidRDefault="0035492B" w:rsidP="0035492B">
      <w:pPr>
        <w:widowControl/>
        <w:shd w:val="clear" w:color="auto" w:fill="FFFFFF"/>
        <w:spacing w:before="100" w:beforeAutospacing="1" w:line="360" w:lineRule="auto"/>
        <w:rPr>
          <w:rFonts w:ascii="黑体" w:eastAsia="黑体" w:hAnsi="黑体" w:cs="Tahoma"/>
          <w:color w:val="333333"/>
          <w:kern w:val="0"/>
          <w:sz w:val="19"/>
          <w:szCs w:val="19"/>
        </w:rPr>
      </w:pPr>
      <w:r w:rsidRPr="0035492B">
        <w:rPr>
          <w:rFonts w:ascii="宋体" w:eastAsia="宋体" w:hAnsi="宋体" w:cs="宋体" w:hint="eastAsia"/>
          <w:color w:val="333333"/>
          <w:kern w:val="0"/>
          <w:sz w:val="19"/>
          <w:szCs w:val="19"/>
        </w:rPr>
        <w:t> </w:t>
      </w:r>
      <w:r w:rsidRPr="0035492B">
        <w:rPr>
          <w:rFonts w:ascii="黑体" w:eastAsia="黑体" w:hAnsi="黑体" w:cs="Tahoma" w:hint="eastAsia"/>
          <w:color w:val="333333"/>
          <w:kern w:val="0"/>
          <w:sz w:val="19"/>
          <w:szCs w:val="19"/>
        </w:rPr>
        <w:t>培养学生的人文社会科学素养、公民意识和社会责任感，促进学生身心健康，具备运用外国语进行交流和解决工程问题的能力。使学生掌握我国勘察设计注册工程师（包括注册结构工程师、注册土木工程师、注册公用设备工程师等专业）、注册建造师等执业资格相关的法律法规、职业道德、岗位职责等方面的要求，从事专业工作时能够正确认识社会、经济、环境、安全、法律等各种因素的影响。</w:t>
      </w:r>
    </w:p>
    <w:p w:rsidR="0035492B" w:rsidRPr="0035492B" w:rsidRDefault="0035492B" w:rsidP="0035492B">
      <w:pPr>
        <w:widowControl/>
        <w:shd w:val="clear" w:color="auto" w:fill="FFFFFF"/>
        <w:spacing w:before="100" w:beforeAutospacing="1" w:line="360" w:lineRule="auto"/>
        <w:rPr>
          <w:rFonts w:ascii="Tahoma" w:eastAsia="宋体" w:hAnsi="Tahoma" w:cs="Tahoma"/>
          <w:color w:val="333333"/>
          <w:kern w:val="0"/>
          <w:sz w:val="19"/>
          <w:szCs w:val="19"/>
        </w:rPr>
      </w:pPr>
      <w:r w:rsidRPr="0035492B">
        <w:rPr>
          <w:rFonts w:ascii="Tahoma" w:eastAsia="宋体" w:hAnsi="Tahoma" w:cs="Tahoma"/>
          <w:color w:val="333333"/>
          <w:kern w:val="0"/>
          <w:sz w:val="19"/>
          <w:szCs w:val="19"/>
        </w:rPr>
        <w:lastRenderedPageBreak/>
        <w:t xml:space="preserve">1.2 </w:t>
      </w:r>
      <w:r w:rsidRPr="0035492B">
        <w:rPr>
          <w:rFonts w:ascii="Tahoma" w:eastAsia="宋体" w:hAnsi="Tahoma" w:cs="Tahoma"/>
          <w:color w:val="333333"/>
          <w:kern w:val="0"/>
          <w:sz w:val="19"/>
          <w:szCs w:val="19"/>
        </w:rPr>
        <w:t>实践环节</w:t>
      </w:r>
    </w:p>
    <w:p w:rsidR="0035492B" w:rsidRPr="0035492B" w:rsidRDefault="0035492B" w:rsidP="0035492B">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35492B">
        <w:rPr>
          <w:rFonts w:ascii="黑体" w:eastAsia="黑体" w:hAnsi="黑体" w:cs="Tahoma" w:hint="eastAsia"/>
          <w:color w:val="333333"/>
          <w:kern w:val="0"/>
          <w:sz w:val="19"/>
          <w:szCs w:val="19"/>
        </w:rPr>
        <w:t>包括课程实验与实习、专业实习、课程设计、毕业设计（论文）及其他实践环节等。</w:t>
      </w:r>
    </w:p>
    <w:p w:rsidR="0035492B" w:rsidRPr="0035492B" w:rsidRDefault="0035492B" w:rsidP="0035492B">
      <w:pPr>
        <w:widowControl/>
        <w:shd w:val="clear" w:color="auto" w:fill="FFFFFF"/>
        <w:spacing w:before="100" w:beforeAutospacing="1" w:line="360" w:lineRule="auto"/>
        <w:rPr>
          <w:rFonts w:ascii="黑体" w:eastAsia="黑体" w:hAnsi="黑体" w:cs="Tahoma"/>
          <w:color w:val="333333"/>
          <w:kern w:val="0"/>
          <w:sz w:val="19"/>
          <w:szCs w:val="19"/>
        </w:rPr>
      </w:pPr>
      <w:r w:rsidRPr="0035492B">
        <w:rPr>
          <w:rFonts w:ascii="黑体" w:eastAsia="黑体" w:hAnsi="黑体" w:cs="Tahoma" w:hint="eastAsia"/>
          <w:color w:val="333333"/>
          <w:kern w:val="0"/>
          <w:sz w:val="19"/>
          <w:szCs w:val="19"/>
        </w:rPr>
        <w:t>1.2.1 课程实验与实习</w:t>
      </w:r>
    </w:p>
    <w:p w:rsidR="0035492B" w:rsidRPr="0035492B" w:rsidRDefault="0035492B" w:rsidP="0035492B">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35492B">
        <w:rPr>
          <w:rFonts w:ascii="黑体" w:eastAsia="黑体" w:hAnsi="黑体" w:cs="Tahoma" w:hint="eastAsia"/>
          <w:color w:val="333333"/>
          <w:kern w:val="0"/>
          <w:sz w:val="19"/>
          <w:szCs w:val="19"/>
        </w:rPr>
        <w:t>土木工程专业：包括大学物理实验、大学化学实验、材料力学实验、流体力学实验、土木工程材料实验、混凝土基本构件实验、土力学实验、土木工程测试技术、专业综合实验以及工程测量实习、工程地质实习等。</w:t>
      </w:r>
    </w:p>
    <w:p w:rsidR="0035492B" w:rsidRPr="0035492B" w:rsidRDefault="0035492B" w:rsidP="0035492B">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35492B">
        <w:rPr>
          <w:rFonts w:ascii="黑体" w:eastAsia="黑体" w:hAnsi="黑体" w:cs="Tahoma" w:hint="eastAsia"/>
          <w:color w:val="333333"/>
          <w:kern w:val="0"/>
          <w:sz w:val="19"/>
          <w:szCs w:val="19"/>
        </w:rPr>
        <w:t>给排水科学与工程专业：包括大学物理实验、大学化学实验、水分析化学实验、水力学实验、水处理生物学实验、泵与泵站实验、水质工程学实验、以及工程测量实习等。</w:t>
      </w:r>
    </w:p>
    <w:p w:rsidR="0035492B" w:rsidRPr="0035492B" w:rsidRDefault="0035492B" w:rsidP="0035492B">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35492B">
        <w:rPr>
          <w:rFonts w:ascii="黑体" w:eastAsia="黑体" w:hAnsi="黑体" w:cs="Tahoma" w:hint="eastAsia"/>
          <w:color w:val="333333"/>
          <w:kern w:val="0"/>
          <w:sz w:val="19"/>
          <w:szCs w:val="19"/>
        </w:rPr>
        <w:t>建筑环境与能源应用工程专业：包括大学物理实验、大学化学实验、流体力学实验、电工电子实验、热（力）学实验、专业综合实验以及工程测量与调试实习等。</w:t>
      </w:r>
    </w:p>
    <w:p w:rsidR="0035492B" w:rsidRPr="0035492B" w:rsidRDefault="0035492B" w:rsidP="0035492B">
      <w:pPr>
        <w:widowControl/>
        <w:shd w:val="clear" w:color="auto" w:fill="FFFFFF"/>
        <w:spacing w:before="100" w:beforeAutospacing="1" w:line="360" w:lineRule="auto"/>
        <w:rPr>
          <w:rFonts w:ascii="黑体" w:eastAsia="黑体" w:hAnsi="黑体" w:cs="Tahoma"/>
          <w:color w:val="333333"/>
          <w:kern w:val="0"/>
          <w:sz w:val="19"/>
          <w:szCs w:val="19"/>
        </w:rPr>
      </w:pPr>
      <w:r w:rsidRPr="0035492B">
        <w:rPr>
          <w:rFonts w:ascii="黑体" w:eastAsia="黑体" w:hAnsi="黑体" w:cs="Tahoma" w:hint="eastAsia"/>
          <w:color w:val="333333"/>
          <w:kern w:val="0"/>
          <w:sz w:val="19"/>
          <w:szCs w:val="19"/>
        </w:rPr>
        <w:t>1.2.2 专业实习</w:t>
      </w:r>
    </w:p>
    <w:p w:rsidR="0035492B" w:rsidRPr="0035492B" w:rsidRDefault="0035492B" w:rsidP="0035492B">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35492B">
        <w:rPr>
          <w:rFonts w:ascii="黑体" w:eastAsia="黑体" w:hAnsi="黑体" w:cs="Tahoma" w:hint="eastAsia"/>
          <w:color w:val="333333"/>
          <w:kern w:val="0"/>
          <w:sz w:val="19"/>
          <w:szCs w:val="19"/>
        </w:rPr>
        <w:t>包括认识实习、生产实习、毕业实习等。</w:t>
      </w:r>
    </w:p>
    <w:p w:rsidR="0035492B" w:rsidRPr="0035492B" w:rsidRDefault="0035492B" w:rsidP="0035492B">
      <w:pPr>
        <w:widowControl/>
        <w:shd w:val="clear" w:color="auto" w:fill="FFFFFF"/>
        <w:spacing w:before="100" w:beforeAutospacing="1" w:line="360" w:lineRule="auto"/>
        <w:rPr>
          <w:rFonts w:ascii="黑体" w:eastAsia="黑体" w:hAnsi="黑体" w:cs="Tahoma"/>
          <w:color w:val="333333"/>
          <w:kern w:val="0"/>
          <w:sz w:val="19"/>
          <w:szCs w:val="19"/>
        </w:rPr>
      </w:pPr>
      <w:r w:rsidRPr="0035492B">
        <w:rPr>
          <w:rFonts w:ascii="黑体" w:eastAsia="黑体" w:hAnsi="黑体" w:cs="Tahoma" w:hint="eastAsia"/>
          <w:color w:val="333333"/>
          <w:kern w:val="0"/>
          <w:sz w:val="19"/>
          <w:szCs w:val="19"/>
        </w:rPr>
        <w:t>1.2.3 课程设计</w:t>
      </w:r>
    </w:p>
    <w:p w:rsidR="0035492B" w:rsidRPr="0035492B" w:rsidRDefault="0035492B" w:rsidP="0035492B">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35492B">
        <w:rPr>
          <w:rFonts w:ascii="黑体" w:eastAsia="黑体" w:hAnsi="黑体" w:cs="Tahoma" w:hint="eastAsia"/>
          <w:color w:val="333333"/>
          <w:kern w:val="0"/>
          <w:sz w:val="19"/>
          <w:szCs w:val="19"/>
        </w:rPr>
        <w:t>土木工程专业：根据不同专业领域，土木工程专业课程设计包括钢筋混凝土设计、钢结构设计、单层工业厂房设计、桥梁工程设计、道路勘测设计、基础工程设计、基坑支护设计、轨道无缝线路设计以及工程施工组织设计等。</w:t>
      </w:r>
    </w:p>
    <w:p w:rsidR="0035492B" w:rsidRPr="0035492B" w:rsidRDefault="0035492B" w:rsidP="0035492B">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35492B">
        <w:rPr>
          <w:rFonts w:ascii="黑体" w:eastAsia="黑体" w:hAnsi="黑体" w:cs="Tahoma" w:hint="eastAsia"/>
          <w:color w:val="333333"/>
          <w:kern w:val="0"/>
          <w:sz w:val="19"/>
          <w:szCs w:val="19"/>
        </w:rPr>
        <w:t>给排水科学与工程专业：包括泵站设计、给水管网设计、排水管网设计、给水处理厂设计、污水处理厂设计、建筑给水排水设计等。</w:t>
      </w:r>
    </w:p>
    <w:p w:rsidR="0035492B" w:rsidRPr="0035492B" w:rsidRDefault="0035492B" w:rsidP="0035492B">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35492B">
        <w:rPr>
          <w:rFonts w:ascii="黑体" w:eastAsia="黑体" w:hAnsi="黑体" w:cs="Tahoma" w:hint="eastAsia"/>
          <w:color w:val="333333"/>
          <w:kern w:val="0"/>
          <w:sz w:val="19"/>
          <w:szCs w:val="19"/>
        </w:rPr>
        <w:t>建筑环境与能源应用工程专业：包括暖通空调工程设计、供热工程设计、通风工程设计、制冷工程设计、燃气输配设计、燃气燃烧设备设计等。</w:t>
      </w:r>
    </w:p>
    <w:p w:rsidR="0035492B" w:rsidRPr="0035492B" w:rsidRDefault="0035492B" w:rsidP="0035492B">
      <w:pPr>
        <w:widowControl/>
        <w:shd w:val="clear" w:color="auto" w:fill="FFFFFF"/>
        <w:spacing w:before="100" w:beforeAutospacing="1" w:line="360" w:lineRule="auto"/>
        <w:rPr>
          <w:rFonts w:ascii="黑体" w:eastAsia="黑体" w:hAnsi="黑体" w:cs="Tahoma"/>
          <w:color w:val="333333"/>
          <w:kern w:val="0"/>
          <w:sz w:val="19"/>
          <w:szCs w:val="19"/>
        </w:rPr>
      </w:pPr>
      <w:r w:rsidRPr="0035492B">
        <w:rPr>
          <w:rFonts w:ascii="黑体" w:eastAsia="黑体" w:hAnsi="黑体" w:cs="Tahoma" w:hint="eastAsia"/>
          <w:color w:val="333333"/>
          <w:kern w:val="0"/>
          <w:sz w:val="19"/>
          <w:szCs w:val="19"/>
        </w:rPr>
        <w:t>1.2.4 毕业设计（论文）</w:t>
      </w:r>
    </w:p>
    <w:p w:rsidR="0035492B" w:rsidRPr="0035492B" w:rsidRDefault="0035492B" w:rsidP="0035492B">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35492B">
        <w:rPr>
          <w:rFonts w:ascii="黑体" w:eastAsia="黑体" w:hAnsi="黑体" w:cs="Tahoma" w:hint="eastAsia"/>
          <w:color w:val="333333"/>
          <w:kern w:val="0"/>
          <w:sz w:val="19"/>
          <w:szCs w:val="19"/>
        </w:rPr>
        <w:lastRenderedPageBreak/>
        <w:t>学校需制定与毕业要求相适应的标准和检查保障机制，对选题、内容、学生指导、答辩等提出明确要求，保证毕业设计（论文）选题的工作量和难度，有明确的应用背景，并给予学生有效指导。</w:t>
      </w:r>
    </w:p>
    <w:p w:rsidR="0035492B" w:rsidRPr="0035492B" w:rsidRDefault="0035492B" w:rsidP="0035492B">
      <w:pPr>
        <w:widowControl/>
        <w:shd w:val="clear" w:color="auto" w:fill="FFFFFF"/>
        <w:spacing w:before="100" w:beforeAutospacing="1" w:line="360" w:lineRule="auto"/>
        <w:rPr>
          <w:rFonts w:ascii="黑体" w:eastAsia="黑体" w:hAnsi="黑体" w:cs="Tahoma"/>
          <w:color w:val="333333"/>
          <w:kern w:val="0"/>
          <w:sz w:val="19"/>
          <w:szCs w:val="19"/>
        </w:rPr>
      </w:pPr>
      <w:r w:rsidRPr="0035492B">
        <w:rPr>
          <w:rFonts w:ascii="黑体" w:eastAsia="黑体" w:hAnsi="黑体" w:cs="Tahoma" w:hint="eastAsia"/>
          <w:color w:val="333333"/>
          <w:kern w:val="0"/>
          <w:sz w:val="19"/>
          <w:szCs w:val="19"/>
        </w:rPr>
        <w:t>1.2.5 其他实践环节</w:t>
      </w:r>
    </w:p>
    <w:p w:rsidR="0035492B" w:rsidRPr="0035492B" w:rsidRDefault="0035492B" w:rsidP="0035492B">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35492B">
        <w:rPr>
          <w:rFonts w:ascii="黑体" w:eastAsia="黑体" w:hAnsi="黑体" w:cs="Tahoma" w:hint="eastAsia"/>
          <w:color w:val="333333"/>
          <w:kern w:val="0"/>
          <w:sz w:val="19"/>
          <w:szCs w:val="19"/>
        </w:rPr>
        <w:t>包括工程技能训练、科技方法训练、科技创新活动、公益劳动、社会实践等。各校可根据实际情况自行安排。</w:t>
      </w:r>
    </w:p>
    <w:p w:rsidR="0035492B" w:rsidRPr="0035492B" w:rsidRDefault="0035492B" w:rsidP="0035492B">
      <w:pPr>
        <w:widowControl/>
        <w:shd w:val="clear" w:color="auto" w:fill="FFFFFF"/>
        <w:spacing w:before="100" w:beforeAutospacing="1" w:line="360" w:lineRule="auto"/>
        <w:rPr>
          <w:rFonts w:ascii="Tahoma" w:eastAsia="宋体" w:hAnsi="Tahoma" w:cs="Tahoma"/>
          <w:color w:val="333333"/>
          <w:kern w:val="0"/>
          <w:sz w:val="19"/>
          <w:szCs w:val="19"/>
        </w:rPr>
      </w:pPr>
      <w:r w:rsidRPr="0035492B">
        <w:rPr>
          <w:rFonts w:ascii="Tahoma" w:eastAsia="宋体" w:hAnsi="Tahoma" w:cs="Tahoma"/>
          <w:color w:val="333333"/>
          <w:kern w:val="0"/>
          <w:sz w:val="19"/>
          <w:szCs w:val="19"/>
        </w:rPr>
        <w:t>2</w:t>
      </w:r>
      <w:r w:rsidRPr="0035492B">
        <w:rPr>
          <w:rFonts w:ascii="Tahoma" w:eastAsia="宋体" w:hAnsi="Tahoma" w:cs="Tahoma"/>
          <w:color w:val="333333"/>
          <w:kern w:val="0"/>
          <w:sz w:val="19"/>
          <w:szCs w:val="19"/>
        </w:rPr>
        <w:t>．师资队伍</w:t>
      </w:r>
    </w:p>
    <w:p w:rsidR="0035492B" w:rsidRPr="0035492B" w:rsidRDefault="0035492B" w:rsidP="0035492B">
      <w:pPr>
        <w:widowControl/>
        <w:shd w:val="clear" w:color="auto" w:fill="FFFFFF"/>
        <w:spacing w:before="100" w:beforeAutospacing="1" w:line="360" w:lineRule="auto"/>
        <w:rPr>
          <w:rFonts w:ascii="Tahoma" w:eastAsia="宋体" w:hAnsi="Tahoma" w:cs="Tahoma"/>
          <w:color w:val="333333"/>
          <w:kern w:val="0"/>
          <w:sz w:val="19"/>
          <w:szCs w:val="19"/>
        </w:rPr>
      </w:pPr>
      <w:r w:rsidRPr="0035492B">
        <w:rPr>
          <w:rFonts w:ascii="Tahoma" w:eastAsia="宋体" w:hAnsi="Tahoma" w:cs="Tahoma"/>
          <w:color w:val="333333"/>
          <w:kern w:val="0"/>
          <w:sz w:val="19"/>
          <w:szCs w:val="19"/>
        </w:rPr>
        <w:t xml:space="preserve">2.1 </w:t>
      </w:r>
      <w:r w:rsidRPr="0035492B">
        <w:rPr>
          <w:rFonts w:ascii="Tahoma" w:eastAsia="宋体" w:hAnsi="Tahoma" w:cs="Tahoma"/>
          <w:color w:val="333333"/>
          <w:kern w:val="0"/>
          <w:sz w:val="19"/>
          <w:szCs w:val="19"/>
        </w:rPr>
        <w:t>专业背景</w:t>
      </w:r>
    </w:p>
    <w:p w:rsidR="0035492B" w:rsidRPr="0035492B" w:rsidRDefault="0035492B" w:rsidP="0035492B">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35492B">
        <w:rPr>
          <w:rFonts w:ascii="黑体" w:eastAsia="黑体" w:hAnsi="黑体" w:cs="Tahoma" w:hint="eastAsia"/>
          <w:color w:val="333333"/>
          <w:kern w:val="0"/>
          <w:sz w:val="19"/>
          <w:szCs w:val="19"/>
        </w:rPr>
        <w:t>教师队伍整体结构合理，由本专业及相关学科背景的专任教师担任主要专业基础课和专业课的讲课任务，专任教师能够承担80%以上的主干专业课程讲课任务，专任教师人数10人以上，有学科带头人并形成学术梯队。</w:t>
      </w:r>
    </w:p>
    <w:p w:rsidR="0035492B" w:rsidRPr="0035492B" w:rsidRDefault="0035492B" w:rsidP="0035492B">
      <w:pPr>
        <w:widowControl/>
        <w:shd w:val="clear" w:color="auto" w:fill="FFFFFF"/>
        <w:spacing w:before="100" w:beforeAutospacing="1" w:line="360" w:lineRule="auto"/>
        <w:rPr>
          <w:rFonts w:ascii="Tahoma" w:eastAsia="宋体" w:hAnsi="Tahoma" w:cs="Tahoma"/>
          <w:color w:val="333333"/>
          <w:kern w:val="0"/>
          <w:sz w:val="19"/>
          <w:szCs w:val="19"/>
        </w:rPr>
      </w:pPr>
      <w:r w:rsidRPr="0035492B">
        <w:rPr>
          <w:rFonts w:ascii="Tahoma" w:eastAsia="宋体" w:hAnsi="Tahoma" w:cs="Tahoma"/>
          <w:color w:val="333333"/>
          <w:kern w:val="0"/>
          <w:sz w:val="19"/>
          <w:szCs w:val="19"/>
        </w:rPr>
        <w:t xml:space="preserve">2.2 </w:t>
      </w:r>
      <w:r w:rsidRPr="0035492B">
        <w:rPr>
          <w:rFonts w:ascii="Tahoma" w:eastAsia="宋体" w:hAnsi="Tahoma" w:cs="Tahoma"/>
          <w:color w:val="333333"/>
          <w:kern w:val="0"/>
          <w:sz w:val="19"/>
          <w:szCs w:val="19"/>
        </w:rPr>
        <w:t>工程背景</w:t>
      </w:r>
    </w:p>
    <w:p w:rsidR="0035492B" w:rsidRPr="0035492B" w:rsidRDefault="0035492B" w:rsidP="0035492B">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35492B">
        <w:rPr>
          <w:rFonts w:ascii="黑体" w:eastAsia="黑体" w:hAnsi="黑体" w:cs="Tahoma" w:hint="eastAsia"/>
          <w:color w:val="333333"/>
          <w:kern w:val="0"/>
          <w:sz w:val="19"/>
          <w:szCs w:val="19"/>
        </w:rPr>
        <w:t>专业教师具有一定的工程实践经验，有较为稳定的科研方向和相应的科研成果。</w:t>
      </w:r>
    </w:p>
    <w:p w:rsidR="0035492B" w:rsidRPr="0035492B" w:rsidRDefault="0035492B" w:rsidP="0035492B">
      <w:pPr>
        <w:widowControl/>
        <w:shd w:val="clear" w:color="auto" w:fill="FFFFFF"/>
        <w:spacing w:before="100" w:beforeAutospacing="1" w:line="360" w:lineRule="auto"/>
        <w:rPr>
          <w:rFonts w:ascii="Tahoma" w:eastAsia="宋体" w:hAnsi="Tahoma" w:cs="Tahoma"/>
          <w:color w:val="333333"/>
          <w:kern w:val="0"/>
          <w:sz w:val="19"/>
          <w:szCs w:val="19"/>
        </w:rPr>
      </w:pPr>
      <w:r w:rsidRPr="0035492B">
        <w:rPr>
          <w:rFonts w:ascii="Tahoma" w:eastAsia="宋体" w:hAnsi="Tahoma" w:cs="Tahoma"/>
          <w:color w:val="333333"/>
          <w:kern w:val="0"/>
          <w:sz w:val="19"/>
          <w:szCs w:val="19"/>
        </w:rPr>
        <w:t>3</w:t>
      </w:r>
      <w:r w:rsidRPr="0035492B">
        <w:rPr>
          <w:rFonts w:ascii="Tahoma" w:eastAsia="宋体" w:hAnsi="Tahoma" w:cs="Tahoma"/>
          <w:color w:val="333333"/>
          <w:kern w:val="0"/>
          <w:sz w:val="19"/>
          <w:szCs w:val="19"/>
        </w:rPr>
        <w:t>．专业条件</w:t>
      </w:r>
    </w:p>
    <w:p w:rsidR="0035492B" w:rsidRPr="0035492B" w:rsidRDefault="0035492B" w:rsidP="0035492B">
      <w:pPr>
        <w:widowControl/>
        <w:shd w:val="clear" w:color="auto" w:fill="FFFFFF"/>
        <w:spacing w:before="100" w:beforeAutospacing="1" w:line="360" w:lineRule="auto"/>
        <w:rPr>
          <w:rFonts w:ascii="Tahoma" w:eastAsia="宋体" w:hAnsi="Tahoma" w:cs="Tahoma"/>
          <w:color w:val="333333"/>
          <w:kern w:val="0"/>
          <w:sz w:val="19"/>
          <w:szCs w:val="19"/>
        </w:rPr>
      </w:pPr>
      <w:r w:rsidRPr="0035492B">
        <w:rPr>
          <w:rFonts w:ascii="Tahoma" w:eastAsia="宋体" w:hAnsi="Tahoma" w:cs="Tahoma"/>
          <w:color w:val="333333"/>
          <w:kern w:val="0"/>
          <w:sz w:val="19"/>
          <w:szCs w:val="19"/>
        </w:rPr>
        <w:t xml:space="preserve">3.1 </w:t>
      </w:r>
      <w:r w:rsidRPr="0035492B">
        <w:rPr>
          <w:rFonts w:ascii="Tahoma" w:eastAsia="宋体" w:hAnsi="Tahoma" w:cs="Tahoma"/>
          <w:color w:val="333333"/>
          <w:kern w:val="0"/>
          <w:sz w:val="19"/>
          <w:szCs w:val="19"/>
        </w:rPr>
        <w:t>专业资料</w:t>
      </w:r>
    </w:p>
    <w:p w:rsidR="0035492B" w:rsidRPr="0035492B" w:rsidRDefault="0035492B" w:rsidP="0035492B">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35492B">
        <w:rPr>
          <w:rFonts w:ascii="黑体" w:eastAsia="黑体" w:hAnsi="黑体" w:cs="Tahoma" w:hint="eastAsia"/>
          <w:color w:val="333333"/>
          <w:kern w:val="0"/>
          <w:sz w:val="19"/>
          <w:szCs w:val="19"/>
        </w:rPr>
        <w:t>学校图书馆及学院（系）资料室有与本专业有关的图书、期刊、工程建设法规文件、标准规范规程、标准图集以及其它相关图纸、资料、文件等，拥有本专业的电子资源、应用软件等各类资源。各类资源的利用率高，有完整的学生借阅、使用档案。</w:t>
      </w:r>
    </w:p>
    <w:p w:rsidR="0035492B" w:rsidRPr="0035492B" w:rsidRDefault="0035492B" w:rsidP="0035492B">
      <w:pPr>
        <w:widowControl/>
        <w:shd w:val="clear" w:color="auto" w:fill="FFFFFF"/>
        <w:spacing w:before="100" w:beforeAutospacing="1" w:line="360" w:lineRule="auto"/>
        <w:rPr>
          <w:rFonts w:ascii="Tahoma" w:eastAsia="宋体" w:hAnsi="Tahoma" w:cs="Tahoma"/>
          <w:color w:val="333333"/>
          <w:kern w:val="0"/>
          <w:sz w:val="19"/>
          <w:szCs w:val="19"/>
        </w:rPr>
      </w:pPr>
      <w:r w:rsidRPr="0035492B">
        <w:rPr>
          <w:rFonts w:ascii="Tahoma" w:eastAsia="宋体" w:hAnsi="Tahoma" w:cs="Tahoma"/>
          <w:color w:val="333333"/>
          <w:kern w:val="0"/>
          <w:sz w:val="19"/>
          <w:szCs w:val="19"/>
        </w:rPr>
        <w:t xml:space="preserve">3.2 </w:t>
      </w:r>
      <w:r w:rsidRPr="0035492B">
        <w:rPr>
          <w:rFonts w:ascii="Tahoma" w:eastAsia="宋体" w:hAnsi="Tahoma" w:cs="Tahoma"/>
          <w:color w:val="333333"/>
          <w:kern w:val="0"/>
          <w:sz w:val="19"/>
          <w:szCs w:val="19"/>
        </w:rPr>
        <w:t>实验条件</w:t>
      </w:r>
    </w:p>
    <w:p w:rsidR="0035492B" w:rsidRPr="0035492B" w:rsidRDefault="0035492B" w:rsidP="0035492B">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35492B">
        <w:rPr>
          <w:rFonts w:ascii="黑体" w:eastAsia="黑体" w:hAnsi="黑体" w:cs="Tahoma" w:hint="eastAsia"/>
          <w:color w:val="333333"/>
          <w:kern w:val="0"/>
          <w:sz w:val="19"/>
          <w:szCs w:val="19"/>
        </w:rPr>
        <w:t>实验仪器设备满足课程实验要求，并有足够多的台套数，保证每个学生都能动手操作。</w:t>
      </w:r>
    </w:p>
    <w:p w:rsidR="0035492B" w:rsidRPr="0035492B" w:rsidRDefault="0035492B" w:rsidP="0035492B">
      <w:pPr>
        <w:widowControl/>
        <w:shd w:val="clear" w:color="auto" w:fill="FFFFFF"/>
        <w:spacing w:before="100" w:beforeAutospacing="1" w:line="360" w:lineRule="auto"/>
        <w:rPr>
          <w:rFonts w:ascii="Tahoma" w:eastAsia="宋体" w:hAnsi="Tahoma" w:cs="Tahoma"/>
          <w:color w:val="333333"/>
          <w:kern w:val="0"/>
          <w:sz w:val="19"/>
          <w:szCs w:val="19"/>
        </w:rPr>
      </w:pPr>
      <w:r w:rsidRPr="0035492B">
        <w:rPr>
          <w:rFonts w:ascii="Tahoma" w:eastAsia="宋体" w:hAnsi="Tahoma" w:cs="Tahoma"/>
          <w:color w:val="333333"/>
          <w:kern w:val="0"/>
          <w:sz w:val="19"/>
          <w:szCs w:val="19"/>
        </w:rPr>
        <w:t xml:space="preserve">3.3 </w:t>
      </w:r>
      <w:r w:rsidRPr="0035492B">
        <w:rPr>
          <w:rFonts w:ascii="Tahoma" w:eastAsia="宋体" w:hAnsi="Tahoma" w:cs="Tahoma"/>
          <w:color w:val="333333"/>
          <w:kern w:val="0"/>
          <w:sz w:val="19"/>
          <w:szCs w:val="19"/>
        </w:rPr>
        <w:t>实践基地</w:t>
      </w:r>
    </w:p>
    <w:p w:rsidR="0035492B" w:rsidRPr="0035492B" w:rsidRDefault="0035492B" w:rsidP="0035492B">
      <w:pPr>
        <w:widowControl/>
        <w:shd w:val="clear" w:color="auto" w:fill="FFFFFF"/>
        <w:spacing w:before="100" w:beforeAutospacing="1" w:line="360" w:lineRule="auto"/>
        <w:ind w:firstLine="482"/>
        <w:rPr>
          <w:rFonts w:ascii="黑体" w:eastAsia="黑体" w:hAnsi="黑体" w:cs="Tahoma"/>
          <w:color w:val="333333"/>
          <w:kern w:val="0"/>
          <w:sz w:val="19"/>
          <w:szCs w:val="19"/>
        </w:rPr>
      </w:pPr>
      <w:r w:rsidRPr="0035492B">
        <w:rPr>
          <w:rFonts w:ascii="黑体" w:eastAsia="黑体" w:hAnsi="黑体" w:cs="Tahoma" w:hint="eastAsia"/>
          <w:color w:val="333333"/>
          <w:kern w:val="0"/>
          <w:sz w:val="19"/>
          <w:szCs w:val="19"/>
        </w:rPr>
        <w:lastRenderedPageBreak/>
        <w:t>有相对稳定的专业实习基地。实习基地所能提供的实习内容覆盖面广，能满足认识实习、生产实习和毕业实习的教学要求。</w:t>
      </w:r>
    </w:p>
    <w:p w:rsidR="009707EB" w:rsidRPr="0035492B" w:rsidRDefault="009707EB"/>
    <w:sectPr w:rsidR="009707EB" w:rsidRPr="0035492B" w:rsidSect="009707E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358C" w:rsidRDefault="00C8358C" w:rsidP="000F2A5F">
      <w:r>
        <w:separator/>
      </w:r>
    </w:p>
  </w:endnote>
  <w:endnote w:type="continuationSeparator" w:id="1">
    <w:p w:rsidR="00C8358C" w:rsidRDefault="00C8358C" w:rsidP="000F2A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A5F" w:rsidRDefault="000F2A5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A5F" w:rsidRDefault="000F2A5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A5F" w:rsidRDefault="000F2A5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358C" w:rsidRDefault="00C8358C" w:rsidP="000F2A5F">
      <w:r>
        <w:separator/>
      </w:r>
    </w:p>
  </w:footnote>
  <w:footnote w:type="continuationSeparator" w:id="1">
    <w:p w:rsidR="00C8358C" w:rsidRDefault="00C8358C" w:rsidP="000F2A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A5F" w:rsidRDefault="000F2A5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A5F" w:rsidRDefault="000F2A5F" w:rsidP="000F2A5F">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A5F" w:rsidRDefault="000F2A5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492B"/>
    <w:rsid w:val="00022CBE"/>
    <w:rsid w:val="0004013A"/>
    <w:rsid w:val="00067646"/>
    <w:rsid w:val="00076004"/>
    <w:rsid w:val="00094FB1"/>
    <w:rsid w:val="0009780D"/>
    <w:rsid w:val="000A77D7"/>
    <w:rsid w:val="000E034E"/>
    <w:rsid w:val="000E78F2"/>
    <w:rsid w:val="000F11B3"/>
    <w:rsid w:val="000F2A5F"/>
    <w:rsid w:val="000F6AE9"/>
    <w:rsid w:val="001058E7"/>
    <w:rsid w:val="00144A43"/>
    <w:rsid w:val="00167F18"/>
    <w:rsid w:val="00213C44"/>
    <w:rsid w:val="00220982"/>
    <w:rsid w:val="002266C7"/>
    <w:rsid w:val="00240366"/>
    <w:rsid w:val="0026060F"/>
    <w:rsid w:val="002825E2"/>
    <w:rsid w:val="002C5CB7"/>
    <w:rsid w:val="002C6050"/>
    <w:rsid w:val="002F56B4"/>
    <w:rsid w:val="00305D2D"/>
    <w:rsid w:val="0035492B"/>
    <w:rsid w:val="0036407A"/>
    <w:rsid w:val="0039278E"/>
    <w:rsid w:val="00396A41"/>
    <w:rsid w:val="003A1786"/>
    <w:rsid w:val="003B4991"/>
    <w:rsid w:val="003B6ECE"/>
    <w:rsid w:val="003D514F"/>
    <w:rsid w:val="00412657"/>
    <w:rsid w:val="0041331B"/>
    <w:rsid w:val="00422582"/>
    <w:rsid w:val="00422720"/>
    <w:rsid w:val="00435297"/>
    <w:rsid w:val="004378DE"/>
    <w:rsid w:val="004436B9"/>
    <w:rsid w:val="004500C0"/>
    <w:rsid w:val="00480C57"/>
    <w:rsid w:val="004C5022"/>
    <w:rsid w:val="004D4CC9"/>
    <w:rsid w:val="004E06EB"/>
    <w:rsid w:val="004E0D91"/>
    <w:rsid w:val="004F04E1"/>
    <w:rsid w:val="005028A9"/>
    <w:rsid w:val="0050605F"/>
    <w:rsid w:val="00506457"/>
    <w:rsid w:val="005415A2"/>
    <w:rsid w:val="00542FAE"/>
    <w:rsid w:val="005848A2"/>
    <w:rsid w:val="00590034"/>
    <w:rsid w:val="005A4384"/>
    <w:rsid w:val="00660686"/>
    <w:rsid w:val="00662326"/>
    <w:rsid w:val="00673EEC"/>
    <w:rsid w:val="0069109C"/>
    <w:rsid w:val="006C5C90"/>
    <w:rsid w:val="006E06C6"/>
    <w:rsid w:val="006E0CEE"/>
    <w:rsid w:val="006E6E37"/>
    <w:rsid w:val="00702197"/>
    <w:rsid w:val="00707E98"/>
    <w:rsid w:val="00710222"/>
    <w:rsid w:val="00712A6C"/>
    <w:rsid w:val="00723492"/>
    <w:rsid w:val="007312CD"/>
    <w:rsid w:val="00740312"/>
    <w:rsid w:val="00740CE4"/>
    <w:rsid w:val="00750BA8"/>
    <w:rsid w:val="00751BC8"/>
    <w:rsid w:val="0075331E"/>
    <w:rsid w:val="00766D06"/>
    <w:rsid w:val="00780F4E"/>
    <w:rsid w:val="00782F51"/>
    <w:rsid w:val="007848C8"/>
    <w:rsid w:val="007917FE"/>
    <w:rsid w:val="007B1980"/>
    <w:rsid w:val="007D2044"/>
    <w:rsid w:val="007E0D6C"/>
    <w:rsid w:val="007F4FFF"/>
    <w:rsid w:val="00807890"/>
    <w:rsid w:val="00863791"/>
    <w:rsid w:val="00873BC4"/>
    <w:rsid w:val="008763B5"/>
    <w:rsid w:val="00882BBD"/>
    <w:rsid w:val="008B0086"/>
    <w:rsid w:val="008C14D9"/>
    <w:rsid w:val="008D5718"/>
    <w:rsid w:val="008F2493"/>
    <w:rsid w:val="009526D1"/>
    <w:rsid w:val="00952D2C"/>
    <w:rsid w:val="009707EB"/>
    <w:rsid w:val="009C139F"/>
    <w:rsid w:val="009E35F3"/>
    <w:rsid w:val="009E7012"/>
    <w:rsid w:val="00A07901"/>
    <w:rsid w:val="00A25361"/>
    <w:rsid w:val="00A264B2"/>
    <w:rsid w:val="00A41D17"/>
    <w:rsid w:val="00A6172A"/>
    <w:rsid w:val="00A618AE"/>
    <w:rsid w:val="00AA0C6A"/>
    <w:rsid w:val="00AA383E"/>
    <w:rsid w:val="00AB7DFF"/>
    <w:rsid w:val="00AC065B"/>
    <w:rsid w:val="00AE253F"/>
    <w:rsid w:val="00B01FB5"/>
    <w:rsid w:val="00B31F61"/>
    <w:rsid w:val="00B57F95"/>
    <w:rsid w:val="00BE22F4"/>
    <w:rsid w:val="00C01C29"/>
    <w:rsid w:val="00C14D9E"/>
    <w:rsid w:val="00C2237B"/>
    <w:rsid w:val="00C34826"/>
    <w:rsid w:val="00C5369D"/>
    <w:rsid w:val="00C8358C"/>
    <w:rsid w:val="00C84882"/>
    <w:rsid w:val="00C868B1"/>
    <w:rsid w:val="00C90D3C"/>
    <w:rsid w:val="00C96638"/>
    <w:rsid w:val="00CC7F8B"/>
    <w:rsid w:val="00CD17CE"/>
    <w:rsid w:val="00CD38F5"/>
    <w:rsid w:val="00CF3295"/>
    <w:rsid w:val="00D114B8"/>
    <w:rsid w:val="00D15FE1"/>
    <w:rsid w:val="00D16A7F"/>
    <w:rsid w:val="00D21922"/>
    <w:rsid w:val="00D21D5B"/>
    <w:rsid w:val="00D51A4E"/>
    <w:rsid w:val="00D55618"/>
    <w:rsid w:val="00D74EE6"/>
    <w:rsid w:val="00D86645"/>
    <w:rsid w:val="00D87A9F"/>
    <w:rsid w:val="00DE697A"/>
    <w:rsid w:val="00E42A0D"/>
    <w:rsid w:val="00E54689"/>
    <w:rsid w:val="00E80994"/>
    <w:rsid w:val="00E82E42"/>
    <w:rsid w:val="00E832B0"/>
    <w:rsid w:val="00E929E8"/>
    <w:rsid w:val="00EB1A1F"/>
    <w:rsid w:val="00EC44DC"/>
    <w:rsid w:val="00EE1313"/>
    <w:rsid w:val="00EE2036"/>
    <w:rsid w:val="00EF4175"/>
    <w:rsid w:val="00F044FB"/>
    <w:rsid w:val="00F14D18"/>
    <w:rsid w:val="00F263BA"/>
    <w:rsid w:val="00F37C90"/>
    <w:rsid w:val="00F614AE"/>
    <w:rsid w:val="00F7161E"/>
    <w:rsid w:val="00F74148"/>
    <w:rsid w:val="00F824BE"/>
    <w:rsid w:val="00F97529"/>
    <w:rsid w:val="00FA1257"/>
    <w:rsid w:val="00FA64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7EB"/>
    <w:pPr>
      <w:widowControl w:val="0"/>
      <w:jc w:val="both"/>
    </w:pPr>
  </w:style>
  <w:style w:type="paragraph" w:styleId="1">
    <w:name w:val="heading 1"/>
    <w:basedOn w:val="a"/>
    <w:link w:val="1Char"/>
    <w:uiPriority w:val="9"/>
    <w:qFormat/>
    <w:rsid w:val="0035492B"/>
    <w:pPr>
      <w:widowControl/>
      <w:spacing w:before="340" w:after="329" w:line="576" w:lineRule="auto"/>
      <w:outlineLvl w:val="0"/>
    </w:pPr>
    <w:rPr>
      <w:rFonts w:ascii="宋体" w:eastAsia="宋体" w:hAnsi="宋体" w:cs="宋体"/>
      <w:b/>
      <w:bCs/>
      <w:color w:val="000000"/>
      <w:kern w:val="36"/>
      <w:sz w:val="48"/>
      <w:szCs w:val="48"/>
    </w:rPr>
  </w:style>
  <w:style w:type="paragraph" w:styleId="3">
    <w:name w:val="heading 3"/>
    <w:basedOn w:val="a"/>
    <w:link w:val="3Char"/>
    <w:uiPriority w:val="9"/>
    <w:qFormat/>
    <w:rsid w:val="0035492B"/>
    <w:pPr>
      <w:widowControl/>
      <w:spacing w:before="261" w:after="261" w:line="412" w:lineRule="auto"/>
      <w:outlineLvl w:val="2"/>
    </w:pPr>
    <w:rPr>
      <w:rFonts w:ascii="宋体" w:eastAsia="宋体" w:hAnsi="宋体" w:cs="宋体"/>
      <w:b/>
      <w:bCs/>
      <w:color w:val="00000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5492B"/>
    <w:rPr>
      <w:rFonts w:ascii="宋体" w:eastAsia="宋体" w:hAnsi="宋体" w:cs="宋体"/>
      <w:b/>
      <w:bCs/>
      <w:color w:val="000000"/>
      <w:kern w:val="36"/>
      <w:sz w:val="48"/>
      <w:szCs w:val="48"/>
    </w:rPr>
  </w:style>
  <w:style w:type="character" w:customStyle="1" w:styleId="3Char">
    <w:name w:val="标题 3 Char"/>
    <w:basedOn w:val="a0"/>
    <w:link w:val="3"/>
    <w:uiPriority w:val="9"/>
    <w:rsid w:val="0035492B"/>
    <w:rPr>
      <w:rFonts w:ascii="宋体" w:eastAsia="宋体" w:hAnsi="宋体" w:cs="宋体"/>
      <w:b/>
      <w:bCs/>
      <w:color w:val="000000"/>
      <w:kern w:val="0"/>
      <w:sz w:val="27"/>
      <w:szCs w:val="27"/>
    </w:rPr>
  </w:style>
  <w:style w:type="paragraph" w:customStyle="1" w:styleId="artimetas1">
    <w:name w:val="arti_metas1"/>
    <w:basedOn w:val="a"/>
    <w:rsid w:val="0035492B"/>
    <w:pPr>
      <w:widowControl/>
      <w:spacing w:before="100" w:beforeAutospacing="1" w:after="100" w:afterAutospacing="1"/>
      <w:jc w:val="center"/>
    </w:pPr>
    <w:rPr>
      <w:rFonts w:ascii="Tahoma" w:eastAsia="宋体" w:hAnsi="Tahoma" w:cs="Tahoma"/>
      <w:color w:val="333333"/>
      <w:kern w:val="0"/>
      <w:sz w:val="16"/>
      <w:szCs w:val="16"/>
    </w:rPr>
  </w:style>
  <w:style w:type="paragraph" w:customStyle="1" w:styleId="cjk1">
    <w:name w:val="cjk1"/>
    <w:basedOn w:val="a"/>
    <w:rsid w:val="0035492B"/>
    <w:pPr>
      <w:widowControl/>
      <w:spacing w:before="100" w:beforeAutospacing="1" w:after="136"/>
    </w:pPr>
    <w:rPr>
      <w:rFonts w:ascii="黑体" w:eastAsia="黑体" w:hAnsi="黑体" w:cs="Tahoma"/>
      <w:color w:val="333333"/>
      <w:kern w:val="0"/>
      <w:sz w:val="19"/>
      <w:szCs w:val="19"/>
    </w:rPr>
  </w:style>
  <w:style w:type="paragraph" w:styleId="a3">
    <w:name w:val="header"/>
    <w:basedOn w:val="a"/>
    <w:link w:val="Char"/>
    <w:uiPriority w:val="99"/>
    <w:semiHidden/>
    <w:unhideWhenUsed/>
    <w:rsid w:val="000F2A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F2A5F"/>
    <w:rPr>
      <w:sz w:val="18"/>
      <w:szCs w:val="18"/>
    </w:rPr>
  </w:style>
  <w:style w:type="paragraph" w:styleId="a4">
    <w:name w:val="footer"/>
    <w:basedOn w:val="a"/>
    <w:link w:val="Char0"/>
    <w:uiPriority w:val="99"/>
    <w:semiHidden/>
    <w:unhideWhenUsed/>
    <w:rsid w:val="000F2A5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F2A5F"/>
    <w:rPr>
      <w:sz w:val="18"/>
      <w:szCs w:val="18"/>
    </w:rPr>
  </w:style>
</w:styles>
</file>

<file path=word/webSettings.xml><?xml version="1.0" encoding="utf-8"?>
<w:webSettings xmlns:r="http://schemas.openxmlformats.org/officeDocument/2006/relationships" xmlns:w="http://schemas.openxmlformats.org/wordprocessingml/2006/main">
  <w:divs>
    <w:div w:id="371534759">
      <w:bodyDiv w:val="1"/>
      <w:marLeft w:val="0"/>
      <w:marRight w:val="0"/>
      <w:marTop w:val="0"/>
      <w:marBottom w:val="0"/>
      <w:divBdr>
        <w:top w:val="none" w:sz="0" w:space="0" w:color="auto"/>
        <w:left w:val="none" w:sz="0" w:space="0" w:color="auto"/>
        <w:bottom w:val="none" w:sz="0" w:space="0" w:color="auto"/>
        <w:right w:val="none" w:sz="0" w:space="0" w:color="auto"/>
      </w:divBdr>
      <w:divsChild>
        <w:div w:id="431124598">
          <w:marLeft w:val="0"/>
          <w:marRight w:val="0"/>
          <w:marTop w:val="0"/>
          <w:marBottom w:val="0"/>
          <w:divBdr>
            <w:top w:val="none" w:sz="0" w:space="0" w:color="auto"/>
            <w:left w:val="none" w:sz="0" w:space="0" w:color="auto"/>
            <w:bottom w:val="none" w:sz="0" w:space="0" w:color="auto"/>
            <w:right w:val="none" w:sz="0" w:space="0" w:color="auto"/>
          </w:divBdr>
          <w:divsChild>
            <w:div w:id="689142006">
              <w:marLeft w:val="0"/>
              <w:marRight w:val="0"/>
              <w:marTop w:val="0"/>
              <w:marBottom w:val="0"/>
              <w:divBdr>
                <w:top w:val="none" w:sz="0" w:space="0" w:color="auto"/>
                <w:left w:val="none" w:sz="0" w:space="0" w:color="auto"/>
                <w:bottom w:val="none" w:sz="0" w:space="0" w:color="auto"/>
                <w:right w:val="none" w:sz="0" w:space="0" w:color="auto"/>
              </w:divBdr>
              <w:divsChild>
                <w:div w:id="2107573353">
                  <w:marLeft w:val="0"/>
                  <w:marRight w:val="0"/>
                  <w:marTop w:val="0"/>
                  <w:marBottom w:val="0"/>
                  <w:divBdr>
                    <w:top w:val="none" w:sz="0" w:space="0" w:color="auto"/>
                    <w:left w:val="none" w:sz="0" w:space="0" w:color="auto"/>
                    <w:bottom w:val="none" w:sz="0" w:space="0" w:color="auto"/>
                    <w:right w:val="none" w:sz="0" w:space="0" w:color="auto"/>
                  </w:divBdr>
                  <w:divsChild>
                    <w:div w:id="1308120870">
                      <w:marLeft w:val="0"/>
                      <w:marRight w:val="0"/>
                      <w:marTop w:val="0"/>
                      <w:marBottom w:val="0"/>
                      <w:divBdr>
                        <w:top w:val="none" w:sz="0" w:space="0" w:color="auto"/>
                        <w:left w:val="none" w:sz="0" w:space="0" w:color="auto"/>
                        <w:bottom w:val="none" w:sz="0" w:space="0" w:color="auto"/>
                        <w:right w:val="none" w:sz="0" w:space="0" w:color="auto"/>
                      </w:divBdr>
                      <w:divsChild>
                        <w:div w:id="1806970398">
                          <w:marLeft w:val="0"/>
                          <w:marRight w:val="0"/>
                          <w:marTop w:val="136"/>
                          <w:marBottom w:val="0"/>
                          <w:divBdr>
                            <w:top w:val="none" w:sz="0" w:space="0" w:color="auto"/>
                            <w:left w:val="none" w:sz="0" w:space="0" w:color="auto"/>
                            <w:bottom w:val="none" w:sz="0" w:space="0" w:color="auto"/>
                            <w:right w:val="none" w:sz="0" w:space="0" w:color="auto"/>
                          </w:divBdr>
                          <w:divsChild>
                            <w:div w:id="200200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323</Words>
  <Characters>1845</Characters>
  <Application>Microsoft Office Word</Application>
  <DocSecurity>0</DocSecurity>
  <Lines>15</Lines>
  <Paragraphs>4</Paragraphs>
  <ScaleCrop>false</ScaleCrop>
  <Company>Microsoft</Company>
  <LinksUpToDate>false</LinksUpToDate>
  <CharactersWithSpaces>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cp:revision>
  <dcterms:created xsi:type="dcterms:W3CDTF">2015-07-15T02:14:00Z</dcterms:created>
  <dcterms:modified xsi:type="dcterms:W3CDTF">2015-07-15T02:20:00Z</dcterms:modified>
</cp:coreProperties>
</file>