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BB" w:rsidRPr="00931FBB" w:rsidRDefault="00931FBB" w:rsidP="00931FBB">
      <w:pPr>
        <w:widowControl/>
        <w:pBdr>
          <w:bottom w:val="single" w:sz="6" w:space="3" w:color="ECECEC"/>
        </w:pBdr>
        <w:shd w:val="clear" w:color="auto" w:fill="FFFFFF"/>
        <w:spacing w:before="340" w:after="329" w:line="353" w:lineRule="atLeast"/>
        <w:jc w:val="center"/>
        <w:outlineLvl w:val="0"/>
        <w:rPr>
          <w:rFonts w:ascii="微软雅黑" w:eastAsia="微软雅黑" w:hAnsi="微软雅黑" w:cs="Tahoma"/>
          <w:b/>
          <w:bCs/>
          <w:color w:val="0C59A9"/>
          <w:kern w:val="36"/>
          <w:sz w:val="30"/>
          <w:szCs w:val="30"/>
        </w:rPr>
      </w:pPr>
      <w:r w:rsidRPr="00931FBB">
        <w:rPr>
          <w:rFonts w:ascii="微软雅黑" w:eastAsia="微软雅黑" w:hAnsi="微软雅黑" w:cs="Tahoma" w:hint="eastAsia"/>
          <w:b/>
          <w:bCs/>
          <w:color w:val="0C59A9"/>
          <w:kern w:val="36"/>
          <w:sz w:val="30"/>
          <w:szCs w:val="30"/>
        </w:rPr>
        <w:t>工程教育认证标准（2014版）-专业补充标准-材料类</w:t>
      </w:r>
    </w:p>
    <w:p w:rsidR="00931FBB" w:rsidRPr="00931FBB" w:rsidRDefault="00263423" w:rsidP="008E7E98">
      <w:pPr>
        <w:widowControl/>
        <w:shd w:val="clear" w:color="auto" w:fill="FFFFFF"/>
        <w:spacing w:before="100" w:beforeAutospacing="1" w:after="100" w:afterAutospacing="1"/>
        <w:jc w:val="center"/>
        <w:rPr>
          <w:rFonts w:ascii="Tahoma" w:eastAsia="宋体" w:hAnsi="Tahoma" w:cs="Tahoma"/>
          <w:color w:val="333333"/>
          <w:kern w:val="0"/>
          <w:sz w:val="16"/>
          <w:szCs w:val="16"/>
        </w:rPr>
      </w:pPr>
      <w:r>
        <w:rPr>
          <w:rFonts w:ascii="Tahoma" w:eastAsia="宋体" w:hAnsi="Tahoma" w:cs="Tahoma" w:hint="eastAsia"/>
          <w:color w:val="787878"/>
          <w:kern w:val="0"/>
          <w:sz w:val="16"/>
          <w:szCs w:val="16"/>
        </w:rPr>
        <w:t xml:space="preserve"> </w:t>
      </w:r>
    </w:p>
    <w:p w:rsidR="00931FBB" w:rsidRPr="00931FBB" w:rsidRDefault="00931FBB" w:rsidP="00931FBB">
      <w:pPr>
        <w:widowControl/>
        <w:shd w:val="clear" w:color="auto" w:fill="FFFFFF"/>
        <w:spacing w:before="340" w:after="329" w:line="360" w:lineRule="auto"/>
        <w:outlineLvl w:val="0"/>
        <w:rPr>
          <w:rFonts w:ascii="宋体" w:eastAsia="宋体" w:hAnsi="宋体" w:cs="Tahoma"/>
          <w:b/>
          <w:bCs/>
          <w:color w:val="000000"/>
          <w:kern w:val="36"/>
          <w:sz w:val="44"/>
          <w:szCs w:val="44"/>
        </w:rPr>
      </w:pPr>
      <w:bookmarkStart w:id="0" w:name="_Toc383654180"/>
      <w:bookmarkStart w:id="1" w:name="_Toc322169722"/>
      <w:bookmarkStart w:id="2" w:name="_Toc321580457"/>
      <w:bookmarkStart w:id="3" w:name="_Toc383649032"/>
      <w:bookmarkStart w:id="4" w:name="_Toc383648773"/>
      <w:bookmarkStart w:id="5" w:name="_Toc383059454"/>
      <w:bookmarkStart w:id="6" w:name="_Toc383059361"/>
      <w:bookmarkStart w:id="7" w:name="_Toc332582542"/>
      <w:bookmarkStart w:id="8" w:name="_Toc330299061"/>
      <w:bookmarkStart w:id="9" w:name="_Toc328064292"/>
      <w:bookmarkStart w:id="10" w:name="_Toc328064191"/>
      <w:bookmarkStart w:id="11" w:name="_Toc325651688"/>
      <w:bookmarkStart w:id="12" w:name="_Toc383649033"/>
      <w:bookmarkStart w:id="13" w:name="_Toc383059455"/>
      <w:bookmarkStart w:id="14" w:name="_Toc383059362"/>
      <w:bookmarkStart w:id="15" w:name="_Toc332582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931FBB">
        <w:rPr>
          <w:rFonts w:ascii="黑体" w:eastAsia="黑体" w:hAnsi="黑体" w:cs="Tahoma" w:hint="eastAsia"/>
          <w:b/>
          <w:bCs/>
          <w:color w:val="000000"/>
          <w:kern w:val="36"/>
          <w:sz w:val="44"/>
          <w:szCs w:val="44"/>
        </w:rPr>
        <w:t>工程教育认证标准</w:t>
      </w:r>
    </w:p>
    <w:p w:rsidR="00931FBB" w:rsidRPr="00931FBB" w:rsidRDefault="00931FBB" w:rsidP="00931FBB">
      <w:pPr>
        <w:widowControl/>
        <w:shd w:val="clear" w:color="auto" w:fill="FFFFFF"/>
        <w:spacing w:before="261" w:after="261" w:line="360" w:lineRule="auto"/>
        <w:outlineLvl w:val="2"/>
        <w:rPr>
          <w:rFonts w:ascii="宋体" w:eastAsia="宋体" w:hAnsi="宋体" w:cs="Tahoma"/>
          <w:b/>
          <w:bCs/>
          <w:color w:val="000000"/>
          <w:kern w:val="0"/>
          <w:sz w:val="32"/>
          <w:szCs w:val="32"/>
        </w:rPr>
      </w:pPr>
      <w:bookmarkStart w:id="16" w:name="_Toc383654190"/>
      <w:bookmarkStart w:id="17" w:name="_Toc383649042"/>
      <w:bookmarkStart w:id="18" w:name="_Toc332582552"/>
      <w:bookmarkStart w:id="19" w:name="_Toc330299071"/>
      <w:bookmarkEnd w:id="16"/>
      <w:bookmarkEnd w:id="17"/>
      <w:bookmarkEnd w:id="18"/>
      <w:bookmarkEnd w:id="19"/>
      <w:r w:rsidRPr="00931FBB">
        <w:rPr>
          <w:rFonts w:ascii="黑体" w:eastAsia="黑体" w:hAnsi="黑体" w:cs="Times New Roman" w:hint="eastAsia"/>
          <w:b/>
          <w:bCs/>
          <w:color w:val="000000"/>
          <w:kern w:val="0"/>
          <w:sz w:val="32"/>
          <w:szCs w:val="32"/>
        </w:rPr>
        <w:t>2</w:t>
      </w:r>
      <w:r w:rsidRPr="00931FBB">
        <w:rPr>
          <w:rFonts w:ascii="黑体" w:eastAsia="黑体" w:hAnsi="黑体" w:cs="Tahoma" w:hint="eastAsia"/>
          <w:b/>
          <w:bCs/>
          <w:color w:val="000000"/>
          <w:kern w:val="0"/>
          <w:sz w:val="32"/>
          <w:szCs w:val="32"/>
        </w:rPr>
        <w:t>．专业补充标准</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333333"/>
          <w:kern w:val="0"/>
          <w:sz w:val="24"/>
          <w:szCs w:val="24"/>
        </w:rPr>
        <w:t>专业必须满足相应的专业补充标准。专业补充标准规定了相应专业在课程体系、师资队伍和支持条件方面的特殊要求。</w:t>
      </w:r>
    </w:p>
    <w:p w:rsidR="00931FBB" w:rsidRPr="00931FBB" w:rsidRDefault="00931FBB" w:rsidP="00931FBB">
      <w:pPr>
        <w:widowControl/>
        <w:shd w:val="clear" w:color="auto" w:fill="FFFFFF"/>
        <w:spacing w:before="238" w:after="238" w:line="360" w:lineRule="auto"/>
        <w:outlineLvl w:val="2"/>
        <w:rPr>
          <w:rFonts w:ascii="宋体" w:eastAsia="宋体" w:hAnsi="宋体" w:cs="Tahoma"/>
          <w:b/>
          <w:bCs/>
          <w:color w:val="000000"/>
          <w:kern w:val="0"/>
          <w:sz w:val="32"/>
          <w:szCs w:val="32"/>
        </w:rPr>
      </w:pPr>
      <w:bookmarkStart w:id="20" w:name="_Toc383654203"/>
      <w:bookmarkStart w:id="21" w:name="_Toc383649055"/>
      <w:bookmarkStart w:id="22" w:name="_Toc332582565"/>
      <w:bookmarkStart w:id="23" w:name="_Toc330299082"/>
      <w:bookmarkStart w:id="24" w:name="_Toc247475079"/>
      <w:bookmarkEnd w:id="20"/>
      <w:bookmarkEnd w:id="21"/>
      <w:bookmarkEnd w:id="22"/>
      <w:bookmarkEnd w:id="23"/>
      <w:bookmarkEnd w:id="24"/>
      <w:r w:rsidRPr="00931FBB">
        <w:rPr>
          <w:rFonts w:ascii="黑体" w:eastAsia="黑体" w:hAnsi="黑体" w:cs="Tahoma" w:hint="eastAsia"/>
          <w:b/>
          <w:bCs/>
          <w:color w:val="000000"/>
          <w:kern w:val="0"/>
          <w:sz w:val="32"/>
          <w:szCs w:val="32"/>
        </w:rPr>
        <w:t>材料类专业</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t>本认证标准适用于材料类专业，包括材料科学与工程专业、冶金工程专业、金属材料工程专业、无机非金属材料工程专业、高分子材料与工程专业、复合材料与工程专业和材料物理专业等。</w:t>
      </w:r>
    </w:p>
    <w:p w:rsidR="00931FBB" w:rsidRPr="00931FBB" w:rsidRDefault="00931FBB" w:rsidP="00931FBB">
      <w:pPr>
        <w:widowControl/>
        <w:shd w:val="clear" w:color="auto" w:fill="FFFFFF"/>
        <w:spacing w:before="100" w:beforeAutospacing="1" w:line="360" w:lineRule="auto"/>
        <w:rPr>
          <w:rFonts w:ascii="Tahoma" w:eastAsia="宋体" w:hAnsi="Tahoma" w:cs="Tahoma"/>
          <w:color w:val="333333"/>
          <w:kern w:val="0"/>
          <w:sz w:val="19"/>
          <w:szCs w:val="19"/>
        </w:rPr>
      </w:pPr>
      <w:r w:rsidRPr="00931FBB">
        <w:rPr>
          <w:rFonts w:ascii="黑体" w:eastAsia="黑体" w:hAnsi="黑体" w:cs="Times New Roman"/>
          <w:color w:val="333333"/>
          <w:kern w:val="0"/>
          <w:sz w:val="27"/>
          <w:szCs w:val="27"/>
        </w:rPr>
        <w:t>1.</w:t>
      </w:r>
      <w:r w:rsidRPr="00931FBB">
        <w:rPr>
          <w:rFonts w:ascii="黑体" w:eastAsia="黑体" w:hAnsi="黑体" w:cs="Tahoma"/>
          <w:color w:val="333333"/>
          <w:kern w:val="0"/>
          <w:sz w:val="27"/>
          <w:szCs w:val="27"/>
        </w:rPr>
        <w:t>课程体系</w:t>
      </w:r>
    </w:p>
    <w:p w:rsidR="00931FBB" w:rsidRPr="00931FBB" w:rsidRDefault="00931FBB" w:rsidP="00931FBB">
      <w:pPr>
        <w:widowControl/>
        <w:shd w:val="clear" w:color="auto" w:fill="FFFFFF"/>
        <w:spacing w:before="100" w:beforeAutospacing="1" w:line="360" w:lineRule="auto"/>
        <w:rPr>
          <w:rFonts w:ascii="黑体" w:eastAsia="黑体" w:hAnsi="黑体" w:cs="Tahoma"/>
          <w:color w:val="333333"/>
          <w:kern w:val="0"/>
          <w:sz w:val="19"/>
          <w:szCs w:val="19"/>
        </w:rPr>
      </w:pPr>
      <w:r w:rsidRPr="00931FBB">
        <w:rPr>
          <w:rFonts w:ascii="黑体" w:eastAsia="黑体" w:hAnsi="黑体" w:cs="Tahoma" w:hint="eastAsia"/>
          <w:color w:val="333333"/>
          <w:kern w:val="0"/>
          <w:sz w:val="24"/>
          <w:szCs w:val="24"/>
        </w:rPr>
        <w:t>1.1 课程设置</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t>课程设置由学校根据自身定位、培养目标和办学特色自主设置。本专业补充标准对数学与自然科学类、工程基础类、专业基础类、专业类、实践环节、人文社会科学类通识教育这六类课程的内容提出基本要求。</w:t>
      </w:r>
    </w:p>
    <w:p w:rsidR="00931FBB" w:rsidRPr="00931FBB" w:rsidRDefault="00931FBB" w:rsidP="00931FBB">
      <w:pPr>
        <w:widowControl/>
        <w:shd w:val="clear" w:color="auto" w:fill="FFFFFF"/>
        <w:spacing w:before="100" w:beforeAutospacing="1" w:line="360" w:lineRule="auto"/>
        <w:rPr>
          <w:rFonts w:ascii="黑体" w:eastAsia="黑体" w:hAnsi="黑体" w:cs="Tahoma"/>
          <w:color w:val="333333"/>
          <w:kern w:val="0"/>
          <w:sz w:val="19"/>
          <w:szCs w:val="19"/>
        </w:rPr>
      </w:pPr>
      <w:r w:rsidRPr="00931FBB">
        <w:rPr>
          <w:rFonts w:ascii="黑体" w:eastAsia="黑体" w:hAnsi="黑体" w:cs="Tahoma" w:hint="eastAsia"/>
          <w:color w:val="333333"/>
          <w:kern w:val="0"/>
          <w:sz w:val="24"/>
          <w:szCs w:val="24"/>
        </w:rPr>
        <w:t>1.1.1 数学与自然科学类课程</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t>数学类科目包括线性代数、微积分、微分方程、概率和数理统计等知识领域。自然科学类的科目应包括物理、化学等知识领域。</w:t>
      </w:r>
    </w:p>
    <w:p w:rsidR="00931FBB" w:rsidRPr="00931FBB" w:rsidRDefault="00931FBB" w:rsidP="00931FBB">
      <w:pPr>
        <w:widowControl/>
        <w:shd w:val="clear" w:color="auto" w:fill="FFFFFF"/>
        <w:spacing w:before="100" w:beforeAutospacing="1" w:line="360" w:lineRule="auto"/>
        <w:rPr>
          <w:rFonts w:ascii="黑体" w:eastAsia="黑体" w:hAnsi="黑体" w:cs="Tahoma"/>
          <w:color w:val="333333"/>
          <w:kern w:val="0"/>
          <w:sz w:val="19"/>
          <w:szCs w:val="19"/>
        </w:rPr>
      </w:pPr>
      <w:r w:rsidRPr="00931FBB">
        <w:rPr>
          <w:rFonts w:ascii="黑体" w:eastAsia="黑体" w:hAnsi="黑体" w:cs="Tahoma" w:hint="eastAsia"/>
          <w:color w:val="333333"/>
          <w:kern w:val="0"/>
          <w:sz w:val="24"/>
          <w:szCs w:val="24"/>
        </w:rPr>
        <w:t>1.1.2 工程基础类课程</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lastRenderedPageBreak/>
        <w:t>材料类专门人才需要掌握与材料科学与工程学科相关的工程技术知识，包括计算机与信息技术基础类、力学类、机械设计基础类、电工电子等相关知识领域。</w:t>
      </w:r>
    </w:p>
    <w:p w:rsidR="00931FBB" w:rsidRPr="00931FBB" w:rsidRDefault="00931FBB" w:rsidP="00931FBB">
      <w:pPr>
        <w:widowControl/>
        <w:shd w:val="clear" w:color="auto" w:fill="FFFFFF"/>
        <w:spacing w:before="100" w:beforeAutospacing="1" w:line="360" w:lineRule="auto"/>
        <w:rPr>
          <w:rFonts w:ascii="黑体" w:eastAsia="黑体" w:hAnsi="黑体" w:cs="Tahoma"/>
          <w:color w:val="333333"/>
          <w:kern w:val="0"/>
          <w:sz w:val="19"/>
          <w:szCs w:val="19"/>
        </w:rPr>
      </w:pPr>
      <w:r w:rsidRPr="00931FBB">
        <w:rPr>
          <w:rFonts w:ascii="黑体" w:eastAsia="黑体" w:hAnsi="黑体" w:cs="Tahoma" w:hint="eastAsia"/>
          <w:color w:val="333333"/>
          <w:kern w:val="0"/>
          <w:sz w:val="24"/>
          <w:szCs w:val="24"/>
        </w:rPr>
        <w:t>1.1.3 学科专业基础类课程</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t>材料科学与工程专业应包含：材料科学基础、材料工程基础、材料性能表征、材料结构表征、材料制备技术、材料加工成形等相关知识领域。</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t>高分子材料与工程专业应包含：高分子物理、高分子化学、材料科学与工程基础、聚合物表征与测试、聚合物反应原理、聚合物成型加工基础、高分子材料和高分子材料加工技术等知识领域。</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t>冶金工程专业应包含：物理化学、金属学及热处理、冶金原理（钢铁冶金原理、有色冶金原理）或冶金物理化学、冶金传输原理、反应工程学或化工原理、冶金实验研究方法、钢铁冶金学、有色冶金学等知识领域。</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t>金属材料工程专业应包含：物理化学、材料科学基础、材料工程基础、材料性能表征、金属材料及热处理、材料结构表征、材料制备技术、材料加工成形等知识领域。</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t>无机非金属材料工程专业应包含：材料科学基础，材料工程基础，材料研究方法与测试技术，无机材料性能，无机非金属材料工艺学，无机非金属材料生产设备等知识领域。</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t>复合材料与工程专业应包含：物理化学、高分子化学、高分子物理、材料研究与测试方法、复合材料聚合物基体、材料复合原理、复合材料成型工艺与设备、复合材料力学、复合材料结构设计等知识领域。</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t>材料物理专业应包含：材料科学与工程导论、固体物理、材料物理性能、材料结构与性能表征、材料制备原理与技术、功能材料等知识领域。</w:t>
      </w:r>
    </w:p>
    <w:p w:rsidR="00931FBB" w:rsidRPr="00931FBB" w:rsidRDefault="00931FBB" w:rsidP="00931FBB">
      <w:pPr>
        <w:widowControl/>
        <w:shd w:val="clear" w:color="auto" w:fill="FFFFFF"/>
        <w:spacing w:before="100" w:beforeAutospacing="1" w:line="360" w:lineRule="auto"/>
        <w:rPr>
          <w:rFonts w:ascii="黑体" w:eastAsia="黑体" w:hAnsi="黑体" w:cs="Tahoma"/>
          <w:color w:val="333333"/>
          <w:kern w:val="0"/>
          <w:sz w:val="19"/>
          <w:szCs w:val="19"/>
        </w:rPr>
      </w:pPr>
      <w:r w:rsidRPr="00931FBB">
        <w:rPr>
          <w:rFonts w:ascii="黑体" w:eastAsia="黑体" w:hAnsi="黑体" w:cs="Tahoma" w:hint="eastAsia"/>
          <w:color w:val="333333"/>
          <w:kern w:val="0"/>
          <w:sz w:val="24"/>
          <w:szCs w:val="24"/>
        </w:rPr>
        <w:t>1.1.4专业类课程</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t>各校可根据自身优势和特点设置课程，办出特色。</w:t>
      </w:r>
    </w:p>
    <w:p w:rsidR="00931FBB" w:rsidRPr="00931FBB" w:rsidRDefault="00931FBB" w:rsidP="00931FBB">
      <w:pPr>
        <w:widowControl/>
        <w:shd w:val="clear" w:color="auto" w:fill="FFFFFF"/>
        <w:spacing w:before="100" w:beforeAutospacing="1" w:line="360" w:lineRule="auto"/>
        <w:rPr>
          <w:rFonts w:ascii="Tahoma" w:eastAsia="宋体" w:hAnsi="Tahoma" w:cs="Tahoma"/>
          <w:color w:val="333333"/>
          <w:kern w:val="0"/>
          <w:sz w:val="19"/>
          <w:szCs w:val="19"/>
        </w:rPr>
      </w:pPr>
      <w:r w:rsidRPr="00931FBB">
        <w:rPr>
          <w:rFonts w:ascii="黑体" w:eastAsia="黑体" w:hAnsi="黑体" w:cs="Times New Roman"/>
          <w:color w:val="333333"/>
          <w:kern w:val="0"/>
          <w:sz w:val="24"/>
          <w:szCs w:val="24"/>
        </w:rPr>
        <w:lastRenderedPageBreak/>
        <w:t>1.2</w:t>
      </w:r>
      <w:r w:rsidRPr="00931FBB">
        <w:rPr>
          <w:rFonts w:ascii="黑体" w:eastAsia="黑体" w:hAnsi="黑体" w:cs="Tahoma"/>
          <w:color w:val="333333"/>
          <w:kern w:val="0"/>
          <w:sz w:val="24"/>
          <w:szCs w:val="24"/>
        </w:rPr>
        <w:t>实践环节</w:t>
      </w:r>
    </w:p>
    <w:p w:rsidR="00931FBB" w:rsidRPr="00931FBB" w:rsidRDefault="00931FBB" w:rsidP="00931FBB">
      <w:pPr>
        <w:widowControl/>
        <w:shd w:val="clear" w:color="auto" w:fill="FFFFFF"/>
        <w:spacing w:before="100" w:beforeAutospacing="1" w:line="360" w:lineRule="auto"/>
        <w:rPr>
          <w:rFonts w:ascii="黑体" w:eastAsia="黑体" w:hAnsi="黑体" w:cs="Tahoma"/>
          <w:color w:val="333333"/>
          <w:kern w:val="0"/>
          <w:sz w:val="19"/>
          <w:szCs w:val="19"/>
        </w:rPr>
      </w:pPr>
      <w:r w:rsidRPr="00931FBB">
        <w:rPr>
          <w:rFonts w:ascii="黑体" w:eastAsia="黑体" w:hAnsi="黑体" w:cs="Tahoma" w:hint="eastAsia"/>
          <w:color w:val="333333"/>
          <w:kern w:val="0"/>
          <w:sz w:val="24"/>
          <w:szCs w:val="24"/>
        </w:rPr>
        <w:t>1.2.1课程实验</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t>实验类型包括认知性实验、验证性实验、综合性实验和设计性实验等，配合课程教学，培养学生实验设计、仪器选择、测试分析的综合实践能力。</w:t>
      </w:r>
    </w:p>
    <w:p w:rsidR="00931FBB" w:rsidRPr="00931FBB" w:rsidRDefault="00931FBB" w:rsidP="00931FBB">
      <w:pPr>
        <w:widowControl/>
        <w:shd w:val="clear" w:color="auto" w:fill="FFFFFF"/>
        <w:spacing w:before="100" w:beforeAutospacing="1" w:line="360" w:lineRule="auto"/>
        <w:rPr>
          <w:rFonts w:ascii="黑体" w:eastAsia="黑体" w:hAnsi="黑体" w:cs="Tahoma"/>
          <w:color w:val="333333"/>
          <w:kern w:val="0"/>
          <w:sz w:val="19"/>
          <w:szCs w:val="19"/>
        </w:rPr>
      </w:pPr>
      <w:r w:rsidRPr="00931FBB">
        <w:rPr>
          <w:rFonts w:ascii="黑体" w:eastAsia="黑体" w:hAnsi="黑体" w:cs="Tahoma" w:hint="eastAsia"/>
          <w:color w:val="333333"/>
          <w:kern w:val="0"/>
          <w:sz w:val="24"/>
          <w:szCs w:val="24"/>
        </w:rPr>
        <w:t>1.2.2课程设计</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t>通过机械零件设计、材料产品设计或工厂生产线布置设计等综合课程设计，培养学生对知识和技能的综合运用能力。</w:t>
      </w:r>
    </w:p>
    <w:p w:rsidR="00931FBB" w:rsidRPr="00931FBB" w:rsidRDefault="00931FBB" w:rsidP="00931FBB">
      <w:pPr>
        <w:widowControl/>
        <w:shd w:val="clear" w:color="auto" w:fill="FFFFFF"/>
        <w:spacing w:before="100" w:beforeAutospacing="1" w:line="360" w:lineRule="auto"/>
        <w:rPr>
          <w:rFonts w:ascii="黑体" w:eastAsia="黑体" w:hAnsi="黑体" w:cs="Tahoma"/>
          <w:color w:val="333333"/>
          <w:kern w:val="0"/>
          <w:sz w:val="19"/>
          <w:szCs w:val="19"/>
        </w:rPr>
      </w:pPr>
      <w:r w:rsidRPr="00931FBB">
        <w:rPr>
          <w:rFonts w:ascii="黑体" w:eastAsia="黑体" w:hAnsi="黑体" w:cs="Tahoma" w:hint="eastAsia"/>
          <w:color w:val="333333"/>
          <w:kern w:val="0"/>
          <w:sz w:val="24"/>
          <w:szCs w:val="24"/>
        </w:rPr>
        <w:t>1.2.3认识实习、生产实习</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t>建立稳定的校内外实习基地，制定出符合生产现场实际的实习大纲，让学生在实习中通过现场的参观和具体的实践活动，了解和熟悉材料生产过程，培养热爱劳动的品质和理论联系实际的能力。</w:t>
      </w:r>
    </w:p>
    <w:p w:rsidR="00931FBB" w:rsidRPr="00931FBB" w:rsidRDefault="00931FBB" w:rsidP="00931FBB">
      <w:pPr>
        <w:widowControl/>
        <w:shd w:val="clear" w:color="auto" w:fill="FFFFFF"/>
        <w:spacing w:before="100" w:beforeAutospacing="1" w:line="360" w:lineRule="auto"/>
        <w:rPr>
          <w:rFonts w:ascii="黑体" w:eastAsia="黑体" w:hAnsi="黑体" w:cs="Tahoma"/>
          <w:color w:val="333333"/>
          <w:kern w:val="0"/>
          <w:sz w:val="19"/>
          <w:szCs w:val="19"/>
        </w:rPr>
      </w:pPr>
      <w:r w:rsidRPr="00931FBB">
        <w:rPr>
          <w:rFonts w:ascii="黑体" w:eastAsia="黑体" w:hAnsi="黑体" w:cs="Tahoma" w:hint="eastAsia"/>
          <w:color w:val="333333"/>
          <w:kern w:val="0"/>
          <w:sz w:val="24"/>
          <w:szCs w:val="24"/>
        </w:rPr>
        <w:t>1.2.4毕业设计或毕业论文</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t>毕业设计（论文）选题要符合本专业的培养目标并具有明确的工程背景，应有一定的知识覆盖面，尽可能涵盖本专业主干课程的内容；应由具有丰富教学和实践经验的教师或企业工程技术人员指导。实行过程管理和目标管理相结合的管理方式。</w:t>
      </w:r>
    </w:p>
    <w:p w:rsidR="00931FBB" w:rsidRPr="00931FBB" w:rsidRDefault="00931FBB" w:rsidP="00931FBB">
      <w:pPr>
        <w:widowControl/>
        <w:shd w:val="clear" w:color="auto" w:fill="FFFFFF"/>
        <w:spacing w:before="100" w:beforeAutospacing="1" w:line="360" w:lineRule="auto"/>
        <w:rPr>
          <w:rFonts w:ascii="Tahoma" w:eastAsia="宋体" w:hAnsi="Tahoma" w:cs="Tahoma"/>
          <w:color w:val="333333"/>
          <w:kern w:val="0"/>
          <w:sz w:val="19"/>
          <w:szCs w:val="19"/>
        </w:rPr>
      </w:pPr>
      <w:r w:rsidRPr="00931FBB">
        <w:rPr>
          <w:rFonts w:ascii="黑体" w:eastAsia="黑体" w:hAnsi="黑体" w:cs="Times New Roman"/>
          <w:color w:val="333333"/>
          <w:kern w:val="0"/>
          <w:sz w:val="27"/>
          <w:szCs w:val="27"/>
        </w:rPr>
        <w:t>2.</w:t>
      </w:r>
      <w:r w:rsidRPr="00931FBB">
        <w:rPr>
          <w:rFonts w:ascii="黑体" w:eastAsia="黑体" w:hAnsi="黑体" w:cs="Tahoma"/>
          <w:color w:val="333333"/>
          <w:kern w:val="0"/>
          <w:sz w:val="27"/>
          <w:szCs w:val="27"/>
        </w:rPr>
        <w:t>师资队伍</w:t>
      </w:r>
    </w:p>
    <w:p w:rsidR="00931FBB" w:rsidRPr="00931FBB" w:rsidRDefault="00931FBB" w:rsidP="00931FBB">
      <w:pPr>
        <w:widowControl/>
        <w:shd w:val="clear" w:color="auto" w:fill="FFFFFF"/>
        <w:spacing w:before="100" w:beforeAutospacing="1" w:line="360" w:lineRule="auto"/>
        <w:rPr>
          <w:rFonts w:ascii="Tahoma" w:eastAsia="宋体" w:hAnsi="Tahoma" w:cs="Tahoma"/>
          <w:color w:val="333333"/>
          <w:kern w:val="0"/>
          <w:sz w:val="19"/>
          <w:szCs w:val="19"/>
        </w:rPr>
      </w:pPr>
      <w:r w:rsidRPr="00931FBB">
        <w:rPr>
          <w:rFonts w:ascii="黑体" w:eastAsia="黑体" w:hAnsi="黑体" w:cs="Times New Roman"/>
          <w:color w:val="333333"/>
          <w:kern w:val="0"/>
          <w:sz w:val="24"/>
          <w:szCs w:val="24"/>
        </w:rPr>
        <w:t xml:space="preserve">2.1 </w:t>
      </w:r>
      <w:r w:rsidRPr="00931FBB">
        <w:rPr>
          <w:rFonts w:ascii="黑体" w:eastAsia="黑体" w:hAnsi="黑体" w:cs="Tahoma"/>
          <w:color w:val="333333"/>
          <w:kern w:val="0"/>
          <w:sz w:val="24"/>
          <w:szCs w:val="24"/>
        </w:rPr>
        <w:t>专业背景</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t>从事本专业主干课教学工作的教师其本科、硕士和博士学历中，必有其中之一毕业于材料类专业。</w:t>
      </w:r>
    </w:p>
    <w:p w:rsidR="00931FBB" w:rsidRPr="00931FBB" w:rsidRDefault="00931FBB" w:rsidP="00931FBB">
      <w:pPr>
        <w:widowControl/>
        <w:shd w:val="clear" w:color="auto" w:fill="FFFFFF"/>
        <w:spacing w:before="100" w:beforeAutospacing="1" w:line="360" w:lineRule="auto"/>
        <w:rPr>
          <w:rFonts w:ascii="Tahoma" w:eastAsia="宋体" w:hAnsi="Tahoma" w:cs="Tahoma"/>
          <w:color w:val="333333"/>
          <w:kern w:val="0"/>
          <w:sz w:val="19"/>
          <w:szCs w:val="19"/>
        </w:rPr>
      </w:pPr>
      <w:r w:rsidRPr="00931FBB">
        <w:rPr>
          <w:rFonts w:ascii="黑体" w:eastAsia="黑体" w:hAnsi="黑体" w:cs="Times New Roman"/>
          <w:color w:val="333333"/>
          <w:kern w:val="0"/>
          <w:sz w:val="24"/>
          <w:szCs w:val="24"/>
        </w:rPr>
        <w:t xml:space="preserve">2.2 </w:t>
      </w:r>
      <w:r w:rsidRPr="00931FBB">
        <w:rPr>
          <w:rFonts w:ascii="黑体" w:eastAsia="黑体" w:hAnsi="黑体" w:cs="Tahoma"/>
          <w:color w:val="333333"/>
          <w:kern w:val="0"/>
          <w:sz w:val="24"/>
          <w:szCs w:val="24"/>
        </w:rPr>
        <w:t>工程背景</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宋体" w:eastAsia="宋体" w:hAnsi="宋体" w:cs="Tahoma" w:hint="eastAsia"/>
          <w:color w:val="000000"/>
          <w:kern w:val="0"/>
          <w:sz w:val="24"/>
          <w:szCs w:val="24"/>
        </w:rPr>
        <w:lastRenderedPageBreak/>
        <w:t>a.</w:t>
      </w:r>
      <w:r w:rsidRPr="00931FBB">
        <w:rPr>
          <w:rFonts w:ascii="黑体" w:eastAsia="黑体" w:hAnsi="黑体" w:cs="Tahoma" w:hint="eastAsia"/>
          <w:color w:val="000000"/>
          <w:kern w:val="0"/>
          <w:sz w:val="24"/>
          <w:szCs w:val="24"/>
        </w:rPr>
        <w:t>师资中应含有具有企业或社会工程实践经验的教师；</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宋体" w:eastAsia="宋体" w:hAnsi="宋体" w:cs="Tahoma" w:hint="eastAsia"/>
          <w:color w:val="000000"/>
          <w:kern w:val="0"/>
          <w:sz w:val="24"/>
          <w:szCs w:val="24"/>
        </w:rPr>
        <w:t>b.</w:t>
      </w:r>
      <w:r w:rsidRPr="00931FBB">
        <w:rPr>
          <w:rFonts w:ascii="黑体" w:eastAsia="黑体" w:hAnsi="黑体" w:cs="Tahoma" w:hint="eastAsia"/>
          <w:color w:val="000000"/>
          <w:kern w:val="0"/>
          <w:sz w:val="24"/>
          <w:szCs w:val="24"/>
        </w:rPr>
        <w:t>师资中具有工程设计背景或科研背景的教师应占</w:t>
      </w:r>
      <w:r w:rsidRPr="00931FBB">
        <w:rPr>
          <w:rFonts w:ascii="宋体" w:eastAsia="宋体" w:hAnsi="宋体" w:cs="Tahoma" w:hint="eastAsia"/>
          <w:color w:val="000000"/>
          <w:kern w:val="0"/>
          <w:sz w:val="24"/>
          <w:szCs w:val="24"/>
        </w:rPr>
        <w:t>30</w:t>
      </w:r>
      <w:r w:rsidRPr="00931FBB">
        <w:rPr>
          <w:rFonts w:ascii="黑体" w:eastAsia="黑体" w:hAnsi="黑体" w:cs="Tahoma" w:hint="eastAsia"/>
          <w:color w:val="000000"/>
          <w:kern w:val="0"/>
          <w:sz w:val="24"/>
          <w:szCs w:val="24"/>
        </w:rPr>
        <w:t>％以上。</w:t>
      </w:r>
    </w:p>
    <w:p w:rsidR="00931FBB" w:rsidRPr="00931FBB" w:rsidRDefault="00931FBB" w:rsidP="00931FBB">
      <w:pPr>
        <w:widowControl/>
        <w:shd w:val="clear" w:color="auto" w:fill="FFFFFF"/>
        <w:spacing w:before="100" w:beforeAutospacing="1" w:line="360" w:lineRule="auto"/>
        <w:rPr>
          <w:rFonts w:ascii="Tahoma" w:eastAsia="宋体" w:hAnsi="Tahoma" w:cs="Tahoma"/>
          <w:color w:val="333333"/>
          <w:kern w:val="0"/>
          <w:sz w:val="19"/>
          <w:szCs w:val="19"/>
        </w:rPr>
      </w:pPr>
      <w:r w:rsidRPr="00931FBB">
        <w:rPr>
          <w:rFonts w:ascii="黑体" w:eastAsia="黑体" w:hAnsi="黑体" w:cs="Times New Roman"/>
          <w:color w:val="333333"/>
          <w:kern w:val="0"/>
          <w:sz w:val="27"/>
          <w:szCs w:val="27"/>
        </w:rPr>
        <w:t>3.</w:t>
      </w:r>
      <w:r w:rsidRPr="00931FBB">
        <w:rPr>
          <w:rFonts w:ascii="黑体" w:eastAsia="黑体" w:hAnsi="黑体" w:cs="Tahoma"/>
          <w:color w:val="333333"/>
          <w:kern w:val="0"/>
          <w:sz w:val="27"/>
          <w:szCs w:val="27"/>
        </w:rPr>
        <w:t>支持条件</w:t>
      </w:r>
    </w:p>
    <w:p w:rsidR="00931FBB" w:rsidRPr="00931FBB" w:rsidRDefault="00931FBB" w:rsidP="00931FBB">
      <w:pPr>
        <w:widowControl/>
        <w:shd w:val="clear" w:color="auto" w:fill="FFFFFF"/>
        <w:spacing w:before="100" w:beforeAutospacing="1" w:line="360" w:lineRule="auto"/>
        <w:rPr>
          <w:rFonts w:ascii="Tahoma" w:eastAsia="宋体" w:hAnsi="Tahoma" w:cs="Tahoma"/>
          <w:color w:val="333333"/>
          <w:kern w:val="0"/>
          <w:sz w:val="19"/>
          <w:szCs w:val="19"/>
        </w:rPr>
      </w:pPr>
      <w:r w:rsidRPr="00931FBB">
        <w:rPr>
          <w:rFonts w:ascii="黑体" w:eastAsia="黑体" w:hAnsi="黑体" w:cs="Times New Roman"/>
          <w:color w:val="000000"/>
          <w:kern w:val="0"/>
          <w:sz w:val="24"/>
          <w:szCs w:val="24"/>
        </w:rPr>
        <w:t>3.1</w:t>
      </w:r>
      <w:r w:rsidRPr="00931FBB">
        <w:rPr>
          <w:rFonts w:ascii="黑体" w:eastAsia="黑体" w:hAnsi="黑体" w:cs="Tahoma"/>
          <w:color w:val="000000"/>
          <w:kern w:val="0"/>
          <w:sz w:val="24"/>
          <w:szCs w:val="24"/>
        </w:rPr>
        <w:t>专业资料</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t>学校图书馆或所属院（系、部）的资料室中应配备各种高质量的（含最新的）、充足的教材、参考书和相关的中外文图书、期刊、工具手册、电子资源等文献信息资源和相应的检索工具。</w:t>
      </w:r>
    </w:p>
    <w:p w:rsidR="00931FBB" w:rsidRPr="00931FBB" w:rsidRDefault="00931FBB" w:rsidP="00931FBB">
      <w:pPr>
        <w:widowControl/>
        <w:shd w:val="clear" w:color="auto" w:fill="FFFFFF"/>
        <w:spacing w:before="100" w:beforeAutospacing="1" w:line="360" w:lineRule="auto"/>
        <w:rPr>
          <w:rFonts w:ascii="Tahoma" w:eastAsia="宋体" w:hAnsi="Tahoma" w:cs="Tahoma"/>
          <w:color w:val="333333"/>
          <w:kern w:val="0"/>
          <w:sz w:val="19"/>
          <w:szCs w:val="19"/>
        </w:rPr>
      </w:pPr>
      <w:r w:rsidRPr="00931FBB">
        <w:rPr>
          <w:rFonts w:ascii="黑体" w:eastAsia="黑体" w:hAnsi="黑体" w:cs="Times New Roman"/>
          <w:color w:val="333333"/>
          <w:kern w:val="0"/>
          <w:sz w:val="24"/>
          <w:szCs w:val="24"/>
        </w:rPr>
        <w:t>3.2</w:t>
      </w:r>
      <w:r w:rsidRPr="00931FBB">
        <w:rPr>
          <w:rFonts w:ascii="黑体" w:eastAsia="黑体" w:hAnsi="黑体" w:cs="Tahoma"/>
          <w:color w:val="333333"/>
          <w:kern w:val="0"/>
          <w:sz w:val="24"/>
          <w:szCs w:val="24"/>
        </w:rPr>
        <w:t>实验条件</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t>专业课实验开出率应达到</w:t>
      </w:r>
      <w:r w:rsidRPr="00931FBB">
        <w:rPr>
          <w:rFonts w:ascii="宋体" w:eastAsia="宋体" w:hAnsi="宋体" w:cs="Tahoma" w:hint="eastAsia"/>
          <w:color w:val="000000"/>
          <w:kern w:val="0"/>
          <w:sz w:val="24"/>
          <w:szCs w:val="24"/>
        </w:rPr>
        <w:t>90%</w:t>
      </w:r>
      <w:r w:rsidRPr="00931FBB">
        <w:rPr>
          <w:rFonts w:ascii="黑体" w:eastAsia="黑体" w:hAnsi="黑体" w:cs="Tahoma" w:hint="eastAsia"/>
          <w:color w:val="000000"/>
          <w:kern w:val="0"/>
          <w:sz w:val="24"/>
          <w:szCs w:val="24"/>
        </w:rPr>
        <w:t>以上，综合性、设计性和创新性实验课程占总实验课程比例大于</w:t>
      </w:r>
      <w:r w:rsidRPr="00931FBB">
        <w:rPr>
          <w:rFonts w:ascii="宋体" w:eastAsia="宋体" w:hAnsi="宋体" w:cs="Tahoma" w:hint="eastAsia"/>
          <w:color w:val="000000"/>
          <w:kern w:val="0"/>
          <w:sz w:val="24"/>
          <w:szCs w:val="24"/>
        </w:rPr>
        <w:t>60%</w:t>
      </w:r>
      <w:r w:rsidRPr="00931FBB">
        <w:rPr>
          <w:rFonts w:ascii="黑体" w:eastAsia="黑体" w:hAnsi="黑体" w:cs="Tahoma" w:hint="eastAsia"/>
          <w:color w:val="000000"/>
          <w:kern w:val="0"/>
          <w:sz w:val="24"/>
          <w:szCs w:val="24"/>
        </w:rPr>
        <w:t>；每个实验既要有足够的实验台套数，又要有较高的利用率；基础实验每组学生数不能超过</w:t>
      </w:r>
      <w:r w:rsidRPr="00931FBB">
        <w:rPr>
          <w:rFonts w:ascii="宋体" w:eastAsia="宋体" w:hAnsi="宋体" w:cs="Tahoma" w:hint="eastAsia"/>
          <w:color w:val="000000"/>
          <w:kern w:val="0"/>
          <w:sz w:val="24"/>
          <w:szCs w:val="24"/>
        </w:rPr>
        <w:t>2</w:t>
      </w:r>
      <w:r w:rsidRPr="00931FBB">
        <w:rPr>
          <w:rFonts w:ascii="黑体" w:eastAsia="黑体" w:hAnsi="黑体" w:cs="Tahoma" w:hint="eastAsia"/>
          <w:color w:val="000000"/>
          <w:kern w:val="0"/>
          <w:sz w:val="24"/>
          <w:szCs w:val="24"/>
        </w:rPr>
        <w:t>人；专业实验每组学生数不能超过</w:t>
      </w:r>
      <w:r w:rsidRPr="00931FBB">
        <w:rPr>
          <w:rFonts w:ascii="宋体" w:eastAsia="宋体" w:hAnsi="宋体" w:cs="Tahoma" w:hint="eastAsia"/>
          <w:color w:val="000000"/>
          <w:kern w:val="0"/>
          <w:sz w:val="24"/>
          <w:szCs w:val="24"/>
        </w:rPr>
        <w:t>3</w:t>
      </w:r>
      <w:r w:rsidRPr="00931FBB">
        <w:rPr>
          <w:rFonts w:ascii="黑体" w:eastAsia="黑体" w:hAnsi="黑体" w:cs="Tahoma" w:hint="eastAsia"/>
          <w:color w:val="000000"/>
          <w:kern w:val="0"/>
          <w:sz w:val="24"/>
          <w:szCs w:val="24"/>
        </w:rPr>
        <w:t>人；大型仪器实验每组学生数不能超过</w:t>
      </w:r>
      <w:r w:rsidRPr="00931FBB">
        <w:rPr>
          <w:rFonts w:ascii="宋体" w:eastAsia="宋体" w:hAnsi="宋体" w:cs="Tahoma" w:hint="eastAsia"/>
          <w:color w:val="000000"/>
          <w:kern w:val="0"/>
          <w:sz w:val="24"/>
          <w:szCs w:val="24"/>
        </w:rPr>
        <w:t>8</w:t>
      </w:r>
      <w:r w:rsidRPr="00931FBB">
        <w:rPr>
          <w:rFonts w:ascii="黑体" w:eastAsia="黑体" w:hAnsi="黑体" w:cs="Tahoma" w:hint="eastAsia"/>
          <w:color w:val="000000"/>
          <w:kern w:val="0"/>
          <w:sz w:val="24"/>
          <w:szCs w:val="24"/>
        </w:rPr>
        <w:t>人。</w:t>
      </w:r>
    </w:p>
    <w:p w:rsidR="00931FBB" w:rsidRPr="00931FBB" w:rsidRDefault="00931FBB" w:rsidP="00931FBB">
      <w:pPr>
        <w:widowControl/>
        <w:shd w:val="clear" w:color="auto" w:fill="FFFFFF"/>
        <w:spacing w:before="100" w:beforeAutospacing="1" w:line="360" w:lineRule="auto"/>
        <w:rPr>
          <w:rFonts w:ascii="Tahoma" w:eastAsia="宋体" w:hAnsi="Tahoma" w:cs="Tahoma"/>
          <w:color w:val="333333"/>
          <w:kern w:val="0"/>
          <w:sz w:val="19"/>
          <w:szCs w:val="19"/>
        </w:rPr>
      </w:pPr>
      <w:r w:rsidRPr="00931FBB">
        <w:rPr>
          <w:rFonts w:ascii="黑体" w:eastAsia="黑体" w:hAnsi="黑体" w:cs="Times New Roman"/>
          <w:color w:val="333333"/>
          <w:kern w:val="0"/>
          <w:sz w:val="24"/>
          <w:szCs w:val="24"/>
        </w:rPr>
        <w:t>3.3</w:t>
      </w:r>
      <w:r w:rsidRPr="00931FBB">
        <w:rPr>
          <w:rFonts w:ascii="黑体" w:eastAsia="黑体" w:hAnsi="黑体" w:cs="Tahoma"/>
          <w:color w:val="333333"/>
          <w:kern w:val="0"/>
          <w:sz w:val="24"/>
          <w:szCs w:val="24"/>
        </w:rPr>
        <w:t>实践基地</w:t>
      </w:r>
    </w:p>
    <w:p w:rsidR="00931FBB" w:rsidRPr="00931FBB" w:rsidRDefault="00931FBB" w:rsidP="00931FB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931FBB">
        <w:rPr>
          <w:rFonts w:ascii="黑体" w:eastAsia="黑体" w:hAnsi="黑体" w:cs="Tahoma" w:hint="eastAsia"/>
          <w:color w:val="000000"/>
          <w:kern w:val="0"/>
          <w:sz w:val="24"/>
          <w:szCs w:val="24"/>
        </w:rPr>
        <w:t>要有相对稳定的校内外实习、实践基地，各类实验室向学生全面开放，为学生提供充足优越的实践环境和条件。加强与业界的联系，建立稳定的产学研合作基地。</w:t>
      </w:r>
    </w:p>
    <w:p w:rsidR="009707EB" w:rsidRPr="00931FBB" w:rsidRDefault="009707EB"/>
    <w:sectPr w:rsidR="009707EB" w:rsidRPr="00931FBB" w:rsidSect="009707E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550" w:rsidRDefault="00B66550" w:rsidP="00263423">
      <w:r>
        <w:separator/>
      </w:r>
    </w:p>
  </w:endnote>
  <w:endnote w:type="continuationSeparator" w:id="1">
    <w:p w:rsidR="00B66550" w:rsidRDefault="00B66550" w:rsidP="002634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23" w:rsidRDefault="0026342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23" w:rsidRDefault="0026342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23" w:rsidRDefault="002634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550" w:rsidRDefault="00B66550" w:rsidP="00263423">
      <w:r>
        <w:separator/>
      </w:r>
    </w:p>
  </w:footnote>
  <w:footnote w:type="continuationSeparator" w:id="1">
    <w:p w:rsidR="00B66550" w:rsidRDefault="00B66550" w:rsidP="00263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23" w:rsidRDefault="0026342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23" w:rsidRDefault="00263423" w:rsidP="0026342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23" w:rsidRDefault="0026342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1FBB"/>
    <w:rsid w:val="00022CBE"/>
    <w:rsid w:val="0004013A"/>
    <w:rsid w:val="00067646"/>
    <w:rsid w:val="00076004"/>
    <w:rsid w:val="00094FB1"/>
    <w:rsid w:val="0009780D"/>
    <w:rsid w:val="000A77D7"/>
    <w:rsid w:val="000E034E"/>
    <w:rsid w:val="000E78F2"/>
    <w:rsid w:val="000F11B3"/>
    <w:rsid w:val="000F6AE9"/>
    <w:rsid w:val="001058E7"/>
    <w:rsid w:val="00144A43"/>
    <w:rsid w:val="00167F18"/>
    <w:rsid w:val="00213C44"/>
    <w:rsid w:val="00220982"/>
    <w:rsid w:val="002266C7"/>
    <w:rsid w:val="00240366"/>
    <w:rsid w:val="0026060F"/>
    <w:rsid w:val="00263423"/>
    <w:rsid w:val="002825E2"/>
    <w:rsid w:val="002C5CB7"/>
    <w:rsid w:val="002C6050"/>
    <w:rsid w:val="002F56B4"/>
    <w:rsid w:val="00305D2D"/>
    <w:rsid w:val="0036407A"/>
    <w:rsid w:val="0039278E"/>
    <w:rsid w:val="00396A41"/>
    <w:rsid w:val="003A1786"/>
    <w:rsid w:val="003B4991"/>
    <w:rsid w:val="003B6ECE"/>
    <w:rsid w:val="003D514F"/>
    <w:rsid w:val="00412657"/>
    <w:rsid w:val="0041331B"/>
    <w:rsid w:val="00422582"/>
    <w:rsid w:val="00422720"/>
    <w:rsid w:val="00435297"/>
    <w:rsid w:val="004378DE"/>
    <w:rsid w:val="004436B9"/>
    <w:rsid w:val="004500C0"/>
    <w:rsid w:val="00480C57"/>
    <w:rsid w:val="004C5022"/>
    <w:rsid w:val="004D4CC9"/>
    <w:rsid w:val="004E06EB"/>
    <w:rsid w:val="004E0D91"/>
    <w:rsid w:val="004F04E1"/>
    <w:rsid w:val="005028A9"/>
    <w:rsid w:val="0050605F"/>
    <w:rsid w:val="00506457"/>
    <w:rsid w:val="005415A2"/>
    <w:rsid w:val="00542FAE"/>
    <w:rsid w:val="005848A2"/>
    <w:rsid w:val="00590034"/>
    <w:rsid w:val="005A4384"/>
    <w:rsid w:val="00660686"/>
    <w:rsid w:val="00662326"/>
    <w:rsid w:val="00673EEC"/>
    <w:rsid w:val="0069109C"/>
    <w:rsid w:val="006C5C90"/>
    <w:rsid w:val="006E06C6"/>
    <w:rsid w:val="006E0CEE"/>
    <w:rsid w:val="006E6E37"/>
    <w:rsid w:val="00702197"/>
    <w:rsid w:val="00707E98"/>
    <w:rsid w:val="00710222"/>
    <w:rsid w:val="00712A6C"/>
    <w:rsid w:val="00723492"/>
    <w:rsid w:val="007312CD"/>
    <w:rsid w:val="00740312"/>
    <w:rsid w:val="00740CE4"/>
    <w:rsid w:val="00750BA8"/>
    <w:rsid w:val="00751BC8"/>
    <w:rsid w:val="0075331E"/>
    <w:rsid w:val="00766D06"/>
    <w:rsid w:val="00780F4E"/>
    <w:rsid w:val="00782F51"/>
    <w:rsid w:val="007848C8"/>
    <w:rsid w:val="007917FE"/>
    <w:rsid w:val="007B1980"/>
    <w:rsid w:val="007D2044"/>
    <w:rsid w:val="007E0D6C"/>
    <w:rsid w:val="007F4FFF"/>
    <w:rsid w:val="00807890"/>
    <w:rsid w:val="00863791"/>
    <w:rsid w:val="00873BC4"/>
    <w:rsid w:val="008763B5"/>
    <w:rsid w:val="00882BBD"/>
    <w:rsid w:val="008B0086"/>
    <w:rsid w:val="008C14D9"/>
    <w:rsid w:val="008D5718"/>
    <w:rsid w:val="008E7E98"/>
    <w:rsid w:val="008F2493"/>
    <w:rsid w:val="00931FBB"/>
    <w:rsid w:val="009526D1"/>
    <w:rsid w:val="00952D2C"/>
    <w:rsid w:val="009707EB"/>
    <w:rsid w:val="009C139F"/>
    <w:rsid w:val="009E35F3"/>
    <w:rsid w:val="009E7012"/>
    <w:rsid w:val="00A07901"/>
    <w:rsid w:val="00A25361"/>
    <w:rsid w:val="00A264B2"/>
    <w:rsid w:val="00A41D17"/>
    <w:rsid w:val="00A6172A"/>
    <w:rsid w:val="00A618AE"/>
    <w:rsid w:val="00AA0C6A"/>
    <w:rsid w:val="00AA383E"/>
    <w:rsid w:val="00AB7DFF"/>
    <w:rsid w:val="00AC065B"/>
    <w:rsid w:val="00AE253F"/>
    <w:rsid w:val="00B01FB5"/>
    <w:rsid w:val="00B31F61"/>
    <w:rsid w:val="00B57F95"/>
    <w:rsid w:val="00B66550"/>
    <w:rsid w:val="00BE22F4"/>
    <w:rsid w:val="00C01C29"/>
    <w:rsid w:val="00C14D9E"/>
    <w:rsid w:val="00C2237B"/>
    <w:rsid w:val="00C34826"/>
    <w:rsid w:val="00C5369D"/>
    <w:rsid w:val="00C84882"/>
    <w:rsid w:val="00C868B1"/>
    <w:rsid w:val="00C90D3C"/>
    <w:rsid w:val="00C96638"/>
    <w:rsid w:val="00CC7F8B"/>
    <w:rsid w:val="00CD17CE"/>
    <w:rsid w:val="00CF3295"/>
    <w:rsid w:val="00D114B8"/>
    <w:rsid w:val="00D15FE1"/>
    <w:rsid w:val="00D16A7F"/>
    <w:rsid w:val="00D21922"/>
    <w:rsid w:val="00D21D5B"/>
    <w:rsid w:val="00D51A4E"/>
    <w:rsid w:val="00D55618"/>
    <w:rsid w:val="00D74EE6"/>
    <w:rsid w:val="00D86645"/>
    <w:rsid w:val="00D87A9F"/>
    <w:rsid w:val="00DE697A"/>
    <w:rsid w:val="00E42A0D"/>
    <w:rsid w:val="00E54689"/>
    <w:rsid w:val="00E80994"/>
    <w:rsid w:val="00E81F0C"/>
    <w:rsid w:val="00E82E42"/>
    <w:rsid w:val="00E832B0"/>
    <w:rsid w:val="00E929E8"/>
    <w:rsid w:val="00EB1A1F"/>
    <w:rsid w:val="00EC44DC"/>
    <w:rsid w:val="00EE1313"/>
    <w:rsid w:val="00EE2036"/>
    <w:rsid w:val="00EF4175"/>
    <w:rsid w:val="00F044FB"/>
    <w:rsid w:val="00F14D18"/>
    <w:rsid w:val="00F263BA"/>
    <w:rsid w:val="00F37C90"/>
    <w:rsid w:val="00F614AE"/>
    <w:rsid w:val="00F7161E"/>
    <w:rsid w:val="00F74148"/>
    <w:rsid w:val="00F824BE"/>
    <w:rsid w:val="00F97529"/>
    <w:rsid w:val="00FA1257"/>
    <w:rsid w:val="00FA6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EB"/>
    <w:pPr>
      <w:widowControl w:val="0"/>
      <w:jc w:val="both"/>
    </w:pPr>
  </w:style>
  <w:style w:type="paragraph" w:styleId="1">
    <w:name w:val="heading 1"/>
    <w:basedOn w:val="a"/>
    <w:link w:val="1Char"/>
    <w:uiPriority w:val="9"/>
    <w:qFormat/>
    <w:rsid w:val="00931FBB"/>
    <w:pPr>
      <w:widowControl/>
      <w:spacing w:before="340" w:after="329" w:line="576" w:lineRule="auto"/>
      <w:outlineLvl w:val="0"/>
    </w:pPr>
    <w:rPr>
      <w:rFonts w:ascii="宋体" w:eastAsia="宋体" w:hAnsi="宋体" w:cs="宋体"/>
      <w:b/>
      <w:bCs/>
      <w:color w:val="000000"/>
      <w:kern w:val="36"/>
      <w:sz w:val="48"/>
      <w:szCs w:val="48"/>
    </w:rPr>
  </w:style>
  <w:style w:type="paragraph" w:styleId="3">
    <w:name w:val="heading 3"/>
    <w:basedOn w:val="a"/>
    <w:link w:val="3Char"/>
    <w:uiPriority w:val="9"/>
    <w:qFormat/>
    <w:rsid w:val="00931FBB"/>
    <w:pPr>
      <w:widowControl/>
      <w:spacing w:before="261" w:after="261" w:line="412" w:lineRule="auto"/>
      <w:outlineLvl w:val="2"/>
    </w:pPr>
    <w:rPr>
      <w:rFonts w:ascii="宋体" w:eastAsia="宋体" w:hAnsi="宋体" w:cs="宋体"/>
      <w:b/>
      <w:bCs/>
      <w:color w:val="00000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1FBB"/>
    <w:rPr>
      <w:rFonts w:ascii="宋体" w:eastAsia="宋体" w:hAnsi="宋体" w:cs="宋体"/>
      <w:b/>
      <w:bCs/>
      <w:color w:val="000000"/>
      <w:kern w:val="36"/>
      <w:sz w:val="48"/>
      <w:szCs w:val="48"/>
    </w:rPr>
  </w:style>
  <w:style w:type="character" w:customStyle="1" w:styleId="3Char">
    <w:name w:val="标题 3 Char"/>
    <w:basedOn w:val="a0"/>
    <w:link w:val="3"/>
    <w:uiPriority w:val="9"/>
    <w:rsid w:val="00931FBB"/>
    <w:rPr>
      <w:rFonts w:ascii="宋体" w:eastAsia="宋体" w:hAnsi="宋体" w:cs="宋体"/>
      <w:b/>
      <w:bCs/>
      <w:color w:val="000000"/>
      <w:kern w:val="0"/>
      <w:sz w:val="27"/>
      <w:szCs w:val="27"/>
    </w:rPr>
  </w:style>
  <w:style w:type="paragraph" w:customStyle="1" w:styleId="artimetas1">
    <w:name w:val="arti_metas1"/>
    <w:basedOn w:val="a"/>
    <w:rsid w:val="00931FBB"/>
    <w:pPr>
      <w:widowControl/>
      <w:spacing w:before="100" w:beforeAutospacing="1" w:after="100" w:afterAutospacing="1"/>
      <w:jc w:val="center"/>
    </w:pPr>
    <w:rPr>
      <w:rFonts w:ascii="Tahoma" w:eastAsia="宋体" w:hAnsi="Tahoma" w:cs="Tahoma"/>
      <w:color w:val="333333"/>
      <w:kern w:val="0"/>
      <w:sz w:val="16"/>
      <w:szCs w:val="16"/>
    </w:rPr>
  </w:style>
  <w:style w:type="paragraph" w:customStyle="1" w:styleId="cjk1">
    <w:name w:val="cjk1"/>
    <w:basedOn w:val="a"/>
    <w:rsid w:val="00931FBB"/>
    <w:pPr>
      <w:widowControl/>
      <w:spacing w:before="100" w:beforeAutospacing="1" w:after="136"/>
    </w:pPr>
    <w:rPr>
      <w:rFonts w:ascii="黑体" w:eastAsia="黑体" w:hAnsi="黑体" w:cs="Tahoma"/>
      <w:color w:val="333333"/>
      <w:kern w:val="0"/>
      <w:sz w:val="19"/>
      <w:szCs w:val="19"/>
    </w:rPr>
  </w:style>
  <w:style w:type="paragraph" w:styleId="a3">
    <w:name w:val="header"/>
    <w:basedOn w:val="a"/>
    <w:link w:val="Char"/>
    <w:uiPriority w:val="99"/>
    <w:semiHidden/>
    <w:unhideWhenUsed/>
    <w:rsid w:val="002634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3423"/>
    <w:rPr>
      <w:sz w:val="18"/>
      <w:szCs w:val="18"/>
    </w:rPr>
  </w:style>
  <w:style w:type="paragraph" w:styleId="a4">
    <w:name w:val="footer"/>
    <w:basedOn w:val="a"/>
    <w:link w:val="Char0"/>
    <w:uiPriority w:val="99"/>
    <w:semiHidden/>
    <w:unhideWhenUsed/>
    <w:rsid w:val="002634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3423"/>
    <w:rPr>
      <w:sz w:val="18"/>
      <w:szCs w:val="18"/>
    </w:rPr>
  </w:style>
</w:styles>
</file>

<file path=word/webSettings.xml><?xml version="1.0" encoding="utf-8"?>
<w:webSettings xmlns:r="http://schemas.openxmlformats.org/officeDocument/2006/relationships" xmlns:w="http://schemas.openxmlformats.org/wordprocessingml/2006/main">
  <w:divs>
    <w:div w:id="1675645668">
      <w:bodyDiv w:val="1"/>
      <w:marLeft w:val="0"/>
      <w:marRight w:val="0"/>
      <w:marTop w:val="0"/>
      <w:marBottom w:val="0"/>
      <w:divBdr>
        <w:top w:val="none" w:sz="0" w:space="0" w:color="auto"/>
        <w:left w:val="none" w:sz="0" w:space="0" w:color="auto"/>
        <w:bottom w:val="none" w:sz="0" w:space="0" w:color="auto"/>
        <w:right w:val="none" w:sz="0" w:space="0" w:color="auto"/>
      </w:divBdr>
      <w:divsChild>
        <w:div w:id="115491307">
          <w:marLeft w:val="0"/>
          <w:marRight w:val="0"/>
          <w:marTop w:val="0"/>
          <w:marBottom w:val="0"/>
          <w:divBdr>
            <w:top w:val="none" w:sz="0" w:space="0" w:color="auto"/>
            <w:left w:val="none" w:sz="0" w:space="0" w:color="auto"/>
            <w:bottom w:val="none" w:sz="0" w:space="0" w:color="auto"/>
            <w:right w:val="none" w:sz="0" w:space="0" w:color="auto"/>
          </w:divBdr>
          <w:divsChild>
            <w:div w:id="2127192448">
              <w:marLeft w:val="0"/>
              <w:marRight w:val="0"/>
              <w:marTop w:val="0"/>
              <w:marBottom w:val="0"/>
              <w:divBdr>
                <w:top w:val="none" w:sz="0" w:space="0" w:color="auto"/>
                <w:left w:val="none" w:sz="0" w:space="0" w:color="auto"/>
                <w:bottom w:val="none" w:sz="0" w:space="0" w:color="auto"/>
                <w:right w:val="none" w:sz="0" w:space="0" w:color="auto"/>
              </w:divBdr>
              <w:divsChild>
                <w:div w:id="78066421">
                  <w:marLeft w:val="0"/>
                  <w:marRight w:val="0"/>
                  <w:marTop w:val="0"/>
                  <w:marBottom w:val="0"/>
                  <w:divBdr>
                    <w:top w:val="none" w:sz="0" w:space="0" w:color="auto"/>
                    <w:left w:val="none" w:sz="0" w:space="0" w:color="auto"/>
                    <w:bottom w:val="none" w:sz="0" w:space="0" w:color="auto"/>
                    <w:right w:val="none" w:sz="0" w:space="0" w:color="auto"/>
                  </w:divBdr>
                  <w:divsChild>
                    <w:div w:id="1603491459">
                      <w:marLeft w:val="0"/>
                      <w:marRight w:val="0"/>
                      <w:marTop w:val="0"/>
                      <w:marBottom w:val="0"/>
                      <w:divBdr>
                        <w:top w:val="none" w:sz="0" w:space="0" w:color="auto"/>
                        <w:left w:val="none" w:sz="0" w:space="0" w:color="auto"/>
                        <w:bottom w:val="none" w:sz="0" w:space="0" w:color="auto"/>
                        <w:right w:val="none" w:sz="0" w:space="0" w:color="auto"/>
                      </w:divBdr>
                      <w:divsChild>
                        <w:div w:id="1000736948">
                          <w:marLeft w:val="0"/>
                          <w:marRight w:val="0"/>
                          <w:marTop w:val="136"/>
                          <w:marBottom w:val="0"/>
                          <w:divBdr>
                            <w:top w:val="none" w:sz="0" w:space="0" w:color="auto"/>
                            <w:left w:val="none" w:sz="0" w:space="0" w:color="auto"/>
                            <w:bottom w:val="none" w:sz="0" w:space="0" w:color="auto"/>
                            <w:right w:val="none" w:sz="0" w:space="0" w:color="auto"/>
                          </w:divBdr>
                          <w:divsChild>
                            <w:div w:id="10884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277</Words>
  <Characters>1582</Characters>
  <Application>Microsoft Office Word</Application>
  <DocSecurity>0</DocSecurity>
  <Lines>13</Lines>
  <Paragraphs>3</Paragraphs>
  <ScaleCrop>false</ScaleCrop>
  <Company>Microsoft</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dcterms:created xsi:type="dcterms:W3CDTF">2015-07-15T02:15:00Z</dcterms:created>
  <dcterms:modified xsi:type="dcterms:W3CDTF">2015-07-15T02:20:00Z</dcterms:modified>
</cp:coreProperties>
</file>